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00F2C" w14:textId="5B877CC8" w:rsidR="00BB2B42" w:rsidRPr="00BB2B42" w:rsidRDefault="00BB2B42" w:rsidP="00795371">
      <w:pPr>
        <w:jc w:val="center"/>
        <w:rPr>
          <w:b/>
        </w:rPr>
      </w:pPr>
      <w:bookmarkStart w:id="0" w:name="_gjdgxs" w:colFirst="0" w:colLast="0"/>
      <w:bookmarkEnd w:id="0"/>
      <w:r w:rsidRPr="00BB2B42">
        <w:rPr>
          <w:b/>
        </w:rPr>
        <w:t>Ministru kabineta noteikumu projekta “</w:t>
      </w:r>
      <w:r w:rsidR="002E25C1" w:rsidRPr="00EF0E97">
        <w:rPr>
          <w:b/>
        </w:rPr>
        <w:t xml:space="preserve">Grozījumi Ministru kabineta </w:t>
      </w:r>
      <w:r w:rsidR="002E25C1" w:rsidRPr="00EF0E97">
        <w:rPr>
          <w:b/>
          <w:bCs/>
        </w:rPr>
        <w:t>2014.</w:t>
      </w:r>
      <w:r w:rsidR="00795371">
        <w:rPr>
          <w:b/>
          <w:bCs/>
        </w:rPr>
        <w:t xml:space="preserve"> </w:t>
      </w:r>
      <w:r w:rsidR="002E25C1" w:rsidRPr="00EF0E97">
        <w:rPr>
          <w:b/>
          <w:bCs/>
        </w:rPr>
        <w:t>g</w:t>
      </w:r>
      <w:r w:rsidR="00795371">
        <w:rPr>
          <w:b/>
          <w:bCs/>
        </w:rPr>
        <w:t>ada 25. marta noteikumos Nr. 161 “</w:t>
      </w:r>
      <w:r w:rsidR="002E25C1" w:rsidRPr="00EF0E97">
        <w:rPr>
          <w:b/>
          <w:bCs/>
        </w:rPr>
        <w:t>Kārtība, kādā novērš vardarbības draudus un nodrošina pagaidu aizsardzību pret vardarbību”</w:t>
      </w:r>
      <w:r w:rsidRPr="00BB2B42">
        <w:rPr>
          <w:b/>
        </w:rPr>
        <w:t>”</w:t>
      </w:r>
    </w:p>
    <w:p w14:paraId="4F12EC9E" w14:textId="77777777" w:rsidR="000C7EFF" w:rsidRPr="00BB2B42" w:rsidRDefault="00E203EE" w:rsidP="00FD229D">
      <w:pPr>
        <w:shd w:val="clear" w:color="auto" w:fill="FFFFFF"/>
        <w:spacing w:after="120"/>
        <w:jc w:val="center"/>
        <w:rPr>
          <w:b/>
          <w:color w:val="auto"/>
        </w:rPr>
      </w:pPr>
      <w:r w:rsidRPr="00BB2B42">
        <w:rPr>
          <w:b/>
          <w:color w:val="auto"/>
        </w:rPr>
        <w:t>sākotnējās ietekmes novērtējuma ziņojums (anotācija)</w:t>
      </w:r>
    </w:p>
    <w:p w14:paraId="240C36E0" w14:textId="77777777" w:rsidR="000C7EFF" w:rsidRPr="00F31BFB" w:rsidRDefault="000C7EFF">
      <w:pPr>
        <w:shd w:val="clear" w:color="auto" w:fill="FFFFFF"/>
        <w:ind w:firstLine="300"/>
        <w:jc w:val="center"/>
        <w:rPr>
          <w:color w:val="auto"/>
        </w:rPr>
      </w:pPr>
    </w:p>
    <w:tbl>
      <w:tblPr>
        <w:tblStyle w:val="a"/>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5950"/>
      </w:tblGrid>
      <w:tr w:rsidR="00DF1B2F" w:rsidRPr="00F31BFB" w14:paraId="793A20CE" w14:textId="77777777" w:rsidTr="00795371">
        <w:tc>
          <w:tcPr>
            <w:tcW w:w="90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A2022D" w14:textId="77777777" w:rsidR="000C7EFF" w:rsidRPr="00F31BFB" w:rsidRDefault="00E203EE">
            <w:pPr>
              <w:jc w:val="center"/>
              <w:rPr>
                <w:rFonts w:ascii="Times New Roman" w:hAnsi="Times New Roman" w:cs="Times New Roman"/>
                <w:b/>
                <w:color w:val="auto"/>
              </w:rPr>
            </w:pPr>
            <w:r w:rsidRPr="00F31BFB">
              <w:rPr>
                <w:rFonts w:ascii="Times New Roman" w:hAnsi="Times New Roman" w:cs="Times New Roman"/>
                <w:b/>
                <w:color w:val="auto"/>
              </w:rPr>
              <w:t xml:space="preserve">Tiesību akta projekta anotācijas kopsavilkums </w:t>
            </w:r>
          </w:p>
        </w:tc>
      </w:tr>
      <w:tr w:rsidR="00DF1B2F" w:rsidRPr="00F31BFB" w14:paraId="44A6C0C9" w14:textId="77777777" w:rsidTr="00795371">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46098256" w14:textId="77777777" w:rsidR="000C7EFF" w:rsidRPr="00F31BFB" w:rsidRDefault="00E203EE">
            <w:pPr>
              <w:rPr>
                <w:rFonts w:ascii="Times New Roman" w:hAnsi="Times New Roman" w:cs="Times New Roman"/>
                <w:color w:val="auto"/>
              </w:rPr>
            </w:pPr>
            <w:r w:rsidRPr="00F31BFB">
              <w:rPr>
                <w:rFonts w:ascii="Times New Roman" w:hAnsi="Times New Roman" w:cs="Times New Roman"/>
                <w:color w:val="auto"/>
              </w:rPr>
              <w:t xml:space="preserve">Mērķis, risinājums un projekta spēkā stāšanās laiks </w:t>
            </w:r>
          </w:p>
        </w:tc>
        <w:tc>
          <w:tcPr>
            <w:tcW w:w="5950" w:type="dxa"/>
            <w:tcBorders>
              <w:top w:val="single" w:sz="4" w:space="0" w:color="000000"/>
              <w:left w:val="single" w:sz="4" w:space="0" w:color="000000"/>
              <w:bottom w:val="single" w:sz="4" w:space="0" w:color="000000"/>
              <w:right w:val="single" w:sz="4" w:space="0" w:color="000000"/>
            </w:tcBorders>
            <w:shd w:val="clear" w:color="auto" w:fill="FFFFFF"/>
          </w:tcPr>
          <w:p w14:paraId="75D9EEB0" w14:textId="21CBF6CA" w:rsidR="000C7EFF" w:rsidRPr="00BB2B42" w:rsidRDefault="00DC4A6B" w:rsidP="002D760C">
            <w:pPr>
              <w:ind w:left="-111"/>
              <w:jc w:val="both"/>
              <w:rPr>
                <w:rFonts w:ascii="Times New Roman" w:eastAsia="Times New Roman" w:hAnsi="Times New Roman" w:cs="Times New Roman"/>
                <w:color w:val="auto"/>
              </w:rPr>
            </w:pPr>
            <w:r>
              <w:rPr>
                <w:rFonts w:ascii="Times New Roman" w:hAnsi="Times New Roman" w:cs="Times New Roman"/>
              </w:rPr>
              <w:t xml:space="preserve">      </w:t>
            </w:r>
            <w:r w:rsidR="003D3F0F">
              <w:rPr>
                <w:rFonts w:ascii="Times New Roman" w:hAnsi="Times New Roman" w:cs="Times New Roman"/>
              </w:rPr>
              <w:t xml:space="preserve">Ministru kabineta noteikumu projekts “Grozījumi Ministru kabineta 2014. gada 25. marta noteikumos Nr. 161 “Kārtība, kādā novērš vardarbības draudus un nodrošina pagaidu aizsardzību pret vardarbību”” (turpmāk – projekts) ir izstrādāts ar </w:t>
            </w:r>
            <w:r w:rsidR="003D3F0F" w:rsidRPr="00DC4A6B">
              <w:rPr>
                <w:rFonts w:ascii="Times New Roman" w:hAnsi="Times New Roman" w:cs="Times New Roman"/>
              </w:rPr>
              <w:t>mērķi noteikt policijas darbiniekiem</w:t>
            </w:r>
            <w:r w:rsidR="009C51FE">
              <w:rPr>
                <w:rFonts w:ascii="Times New Roman" w:hAnsi="Times New Roman" w:cs="Times New Roman"/>
              </w:rPr>
              <w:t xml:space="preserve"> vienotu regulējumu</w:t>
            </w:r>
            <w:r w:rsidR="003D3F0F" w:rsidRPr="00DC4A6B">
              <w:rPr>
                <w:rFonts w:ascii="Times New Roman" w:hAnsi="Times New Roman" w:cs="Times New Roman"/>
              </w:rPr>
              <w:t xml:space="preserve">, </w:t>
            </w:r>
            <w:r w:rsidR="009C51FE">
              <w:rPr>
                <w:rFonts w:ascii="Times New Roman" w:hAnsi="Times New Roman" w:cs="Times New Roman"/>
              </w:rPr>
              <w:t>rīcībai</w:t>
            </w:r>
            <w:r w:rsidR="00810C01">
              <w:rPr>
                <w:rFonts w:ascii="Times New Roman" w:hAnsi="Times New Roman" w:cs="Times New Roman"/>
              </w:rPr>
              <w:t xml:space="preserve"> vardarbības ģimenē gadījumos</w:t>
            </w:r>
            <w:r w:rsidR="003D3F0F" w:rsidRPr="00DC4A6B">
              <w:rPr>
                <w:rFonts w:ascii="Times New Roman" w:hAnsi="Times New Roman" w:cs="Times New Roman"/>
              </w:rPr>
              <w:t xml:space="preserve">, </w:t>
            </w:r>
            <w:r w:rsidR="00D649BE">
              <w:rPr>
                <w:rFonts w:ascii="Times New Roman" w:hAnsi="Times New Roman" w:cs="Times New Roman"/>
              </w:rPr>
              <w:t xml:space="preserve">kas sevī ietver </w:t>
            </w:r>
            <w:r w:rsidR="009C51FE">
              <w:rPr>
                <w:rFonts w:ascii="Times New Roman" w:hAnsi="Times New Roman" w:cs="Times New Roman"/>
              </w:rPr>
              <w:t xml:space="preserve">notikuma apstākļu noskaidrošanu un </w:t>
            </w:r>
            <w:r w:rsidR="00D649BE">
              <w:rPr>
                <w:rFonts w:ascii="Times New Roman" w:hAnsi="Times New Roman" w:cs="Times New Roman"/>
              </w:rPr>
              <w:t>ziņojuma par notikumu sagatavošanu, kas kalpos kā vienots informatīvs dokuments, nodrošinot efektīvu iesaistīto institūciju</w:t>
            </w:r>
            <w:r w:rsidR="009C51FE">
              <w:rPr>
                <w:rFonts w:ascii="Times New Roman" w:hAnsi="Times New Roman" w:cs="Times New Roman"/>
              </w:rPr>
              <w:t xml:space="preserve"> </w:t>
            </w:r>
            <w:r w:rsidR="000F0D4D">
              <w:rPr>
                <w:rFonts w:ascii="Times New Roman" w:hAnsi="Times New Roman" w:cs="Times New Roman"/>
              </w:rPr>
              <w:t>s</w:t>
            </w:r>
            <w:r w:rsidR="00D649BE">
              <w:rPr>
                <w:rFonts w:ascii="Times New Roman" w:hAnsi="Times New Roman" w:cs="Times New Roman"/>
              </w:rPr>
              <w:t>adarbību</w:t>
            </w:r>
            <w:r w:rsidR="009C51FE">
              <w:rPr>
                <w:rFonts w:ascii="Times New Roman" w:hAnsi="Times New Roman" w:cs="Times New Roman"/>
              </w:rPr>
              <w:t xml:space="preserve"> un vardarbības ģimenē novēršanu kopumā.</w:t>
            </w:r>
            <w:r>
              <w:rPr>
                <w:rFonts w:ascii="Times New Roman" w:hAnsi="Times New Roman" w:cs="Times New Roman"/>
              </w:rPr>
              <w:t xml:space="preserve">      </w:t>
            </w:r>
            <w:r w:rsidR="00BB2B42">
              <w:rPr>
                <w:rFonts w:ascii="Times New Roman" w:eastAsia="Times New Roman" w:hAnsi="Times New Roman" w:cs="Times New Roman"/>
                <w:color w:val="auto"/>
              </w:rPr>
              <w:t>Projekt</w:t>
            </w:r>
            <w:r w:rsidR="000F0D4D">
              <w:rPr>
                <w:rFonts w:ascii="Times New Roman" w:eastAsia="Times New Roman" w:hAnsi="Times New Roman" w:cs="Times New Roman"/>
                <w:color w:val="auto"/>
              </w:rPr>
              <w:t>s</w:t>
            </w:r>
            <w:r w:rsidR="00E1674D">
              <w:rPr>
                <w:rFonts w:ascii="Times New Roman" w:eastAsia="Times New Roman" w:hAnsi="Times New Roman" w:cs="Times New Roman"/>
                <w:color w:val="auto"/>
              </w:rPr>
              <w:t xml:space="preserve"> </w:t>
            </w:r>
            <w:r w:rsidR="000F0D4D">
              <w:rPr>
                <w:rFonts w:ascii="Times New Roman" w:eastAsia="Times New Roman" w:hAnsi="Times New Roman" w:cs="Times New Roman"/>
                <w:color w:val="auto"/>
              </w:rPr>
              <w:t xml:space="preserve">stāsies </w:t>
            </w:r>
            <w:r w:rsidR="00BB2B42">
              <w:rPr>
                <w:rFonts w:ascii="Times New Roman" w:eastAsia="Times New Roman" w:hAnsi="Times New Roman" w:cs="Times New Roman"/>
                <w:color w:val="auto"/>
              </w:rPr>
              <w:t xml:space="preserve">spēkā </w:t>
            </w:r>
            <w:r w:rsidR="0027478C">
              <w:rPr>
                <w:rFonts w:ascii="Times New Roman" w:eastAsia="Times New Roman" w:hAnsi="Times New Roman" w:cs="Times New Roman"/>
                <w:color w:val="auto"/>
              </w:rPr>
              <w:t>vispārējā kārtībā</w:t>
            </w:r>
            <w:r w:rsidR="00BB2B42">
              <w:rPr>
                <w:rFonts w:ascii="Times New Roman" w:eastAsia="Times New Roman" w:hAnsi="Times New Roman" w:cs="Times New Roman"/>
                <w:color w:val="auto"/>
              </w:rPr>
              <w:t>.</w:t>
            </w:r>
            <w:r w:rsidR="00EA2004" w:rsidRPr="00584370">
              <w:rPr>
                <w:rFonts w:ascii="Times New Roman" w:eastAsia="Times New Roman" w:hAnsi="Times New Roman" w:cs="Times New Roman"/>
                <w:color w:val="auto"/>
              </w:rPr>
              <w:t xml:space="preserve">  </w:t>
            </w:r>
          </w:p>
        </w:tc>
      </w:tr>
    </w:tbl>
    <w:p w14:paraId="4C3EB9C2" w14:textId="77777777" w:rsidR="000C7EFF" w:rsidRPr="00F31BFB" w:rsidRDefault="000C7EFF">
      <w:pPr>
        <w:shd w:val="clear" w:color="auto" w:fill="FFFFFF"/>
        <w:ind w:firstLine="300"/>
        <w:jc w:val="center"/>
        <w:rPr>
          <w:color w:val="auto"/>
        </w:rPr>
      </w:pPr>
    </w:p>
    <w:tbl>
      <w:tblPr>
        <w:tblStyle w:val="a0"/>
        <w:tblW w:w="9176" w:type="dxa"/>
        <w:tblInd w:w="-112"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520"/>
        <w:gridCol w:w="2592"/>
        <w:gridCol w:w="6064"/>
      </w:tblGrid>
      <w:tr w:rsidR="00DF1B2F" w:rsidRPr="00F31BFB" w14:paraId="64FF144B" w14:textId="77777777" w:rsidTr="00795371">
        <w:trPr>
          <w:trHeight w:val="240"/>
        </w:trPr>
        <w:tc>
          <w:tcPr>
            <w:tcW w:w="9176" w:type="dxa"/>
            <w:gridSpan w:val="3"/>
            <w:tcBorders>
              <w:top w:val="single" w:sz="6" w:space="0" w:color="414142"/>
              <w:left w:val="single" w:sz="6" w:space="0" w:color="414142"/>
              <w:bottom w:val="single" w:sz="6" w:space="0" w:color="414142"/>
              <w:right w:val="single" w:sz="6" w:space="0" w:color="414142"/>
            </w:tcBorders>
            <w:vAlign w:val="center"/>
          </w:tcPr>
          <w:p w14:paraId="1D69200B" w14:textId="77777777" w:rsidR="000C7EFF" w:rsidRPr="00F31BFB" w:rsidRDefault="00E203EE">
            <w:pPr>
              <w:jc w:val="center"/>
              <w:rPr>
                <w:b/>
                <w:color w:val="auto"/>
              </w:rPr>
            </w:pPr>
            <w:r w:rsidRPr="00F31BFB">
              <w:rPr>
                <w:b/>
                <w:color w:val="auto"/>
              </w:rPr>
              <w:t>I. Tiesību akta projekta izstrādes nepieciešamība</w:t>
            </w:r>
          </w:p>
        </w:tc>
      </w:tr>
      <w:tr w:rsidR="00DF1B2F" w:rsidRPr="00F31BFB" w14:paraId="24DD5688" w14:textId="77777777" w:rsidTr="00795371">
        <w:trPr>
          <w:trHeight w:val="180"/>
        </w:trPr>
        <w:tc>
          <w:tcPr>
            <w:tcW w:w="520" w:type="dxa"/>
            <w:tcBorders>
              <w:top w:val="single" w:sz="6" w:space="0" w:color="414142"/>
              <w:left w:val="single" w:sz="6" w:space="0" w:color="414142"/>
              <w:bottom w:val="single" w:sz="6" w:space="0" w:color="414142"/>
              <w:right w:val="single" w:sz="6" w:space="0" w:color="414142"/>
            </w:tcBorders>
          </w:tcPr>
          <w:p w14:paraId="28BA7A55" w14:textId="77777777" w:rsidR="000C7EFF" w:rsidRPr="00F31BFB" w:rsidRDefault="00E203EE">
            <w:pPr>
              <w:jc w:val="center"/>
              <w:rPr>
                <w:color w:val="auto"/>
              </w:rPr>
            </w:pPr>
            <w:r w:rsidRPr="00F31BFB">
              <w:rPr>
                <w:color w:val="auto"/>
              </w:rPr>
              <w:t>1.</w:t>
            </w:r>
          </w:p>
        </w:tc>
        <w:tc>
          <w:tcPr>
            <w:tcW w:w="2592" w:type="dxa"/>
            <w:tcBorders>
              <w:top w:val="single" w:sz="6" w:space="0" w:color="414142"/>
              <w:left w:val="single" w:sz="6" w:space="0" w:color="414142"/>
              <w:bottom w:val="single" w:sz="6" w:space="0" w:color="414142"/>
              <w:right w:val="single" w:sz="6" w:space="0" w:color="414142"/>
            </w:tcBorders>
          </w:tcPr>
          <w:p w14:paraId="14F3D6BD" w14:textId="77777777" w:rsidR="000C7EFF" w:rsidRPr="00F31BFB" w:rsidRDefault="00E203EE">
            <w:pPr>
              <w:rPr>
                <w:color w:val="auto"/>
              </w:rPr>
            </w:pPr>
            <w:r w:rsidRPr="00F31BFB">
              <w:rPr>
                <w:color w:val="auto"/>
              </w:rPr>
              <w:t>Pamatojums</w:t>
            </w:r>
          </w:p>
        </w:tc>
        <w:tc>
          <w:tcPr>
            <w:tcW w:w="6064" w:type="dxa"/>
            <w:tcBorders>
              <w:top w:val="single" w:sz="6" w:space="0" w:color="414142"/>
              <w:left w:val="single" w:sz="6" w:space="0" w:color="414142"/>
              <w:bottom w:val="single" w:sz="6" w:space="0" w:color="414142"/>
              <w:right w:val="single" w:sz="6" w:space="0" w:color="414142"/>
            </w:tcBorders>
          </w:tcPr>
          <w:p w14:paraId="336AD796" w14:textId="71583CCE" w:rsidR="00E9133D" w:rsidRPr="00795371" w:rsidRDefault="00CA4BA2" w:rsidP="00953E4C">
            <w:pPr>
              <w:jc w:val="both"/>
            </w:pPr>
            <w:r>
              <w:t>Iekšlietu ministrijas iniciatīva</w:t>
            </w:r>
            <w:r w:rsidR="00795371">
              <w:t>.</w:t>
            </w:r>
          </w:p>
        </w:tc>
      </w:tr>
      <w:tr w:rsidR="00DF1B2F" w:rsidRPr="00F31BFB" w14:paraId="3333A643" w14:textId="77777777" w:rsidTr="00795371">
        <w:trPr>
          <w:trHeight w:val="460"/>
        </w:trPr>
        <w:tc>
          <w:tcPr>
            <w:tcW w:w="520" w:type="dxa"/>
            <w:tcBorders>
              <w:top w:val="single" w:sz="6" w:space="0" w:color="414142"/>
              <w:left w:val="single" w:sz="6" w:space="0" w:color="414142"/>
              <w:bottom w:val="single" w:sz="6" w:space="0" w:color="414142"/>
              <w:right w:val="single" w:sz="6" w:space="0" w:color="414142"/>
            </w:tcBorders>
          </w:tcPr>
          <w:p w14:paraId="5A4D6C5B" w14:textId="77777777" w:rsidR="000C7EFF" w:rsidRPr="00F31BFB" w:rsidRDefault="00E203EE">
            <w:pPr>
              <w:jc w:val="center"/>
              <w:rPr>
                <w:color w:val="auto"/>
              </w:rPr>
            </w:pPr>
            <w:r w:rsidRPr="00F31BFB">
              <w:rPr>
                <w:color w:val="auto"/>
              </w:rPr>
              <w:t>2.</w:t>
            </w:r>
          </w:p>
        </w:tc>
        <w:tc>
          <w:tcPr>
            <w:tcW w:w="2592" w:type="dxa"/>
            <w:tcBorders>
              <w:top w:val="single" w:sz="6" w:space="0" w:color="414142"/>
              <w:left w:val="single" w:sz="6" w:space="0" w:color="414142"/>
              <w:bottom w:val="single" w:sz="6" w:space="0" w:color="414142"/>
              <w:right w:val="single" w:sz="6" w:space="0" w:color="414142"/>
            </w:tcBorders>
          </w:tcPr>
          <w:p w14:paraId="6742CDCD" w14:textId="77777777" w:rsidR="000C7EFF" w:rsidRPr="00F31BFB" w:rsidRDefault="00E203EE">
            <w:pPr>
              <w:rPr>
                <w:color w:val="auto"/>
              </w:rPr>
            </w:pPr>
            <w:r w:rsidRPr="00F31BFB">
              <w:rPr>
                <w:color w:val="auto"/>
              </w:rPr>
              <w:t>Pašreizējā situācija un problēmas, kuru risināšanai tiesību akta projekts izstrādāts, tiesiskā regulējuma mērķis un būtība</w:t>
            </w:r>
          </w:p>
        </w:tc>
        <w:tc>
          <w:tcPr>
            <w:tcW w:w="6064" w:type="dxa"/>
            <w:tcBorders>
              <w:top w:val="single" w:sz="6" w:space="0" w:color="414142"/>
              <w:left w:val="single" w:sz="6" w:space="0" w:color="414142"/>
              <w:bottom w:val="single" w:sz="6" w:space="0" w:color="414142"/>
              <w:right w:val="single" w:sz="6" w:space="0" w:color="414142"/>
            </w:tcBorders>
          </w:tcPr>
          <w:p w14:paraId="421C86F8" w14:textId="7B6371DE" w:rsidR="00432656" w:rsidRDefault="00DC4A6B" w:rsidP="00E1674D">
            <w:pPr>
              <w:ind w:firstLine="364"/>
              <w:jc w:val="both"/>
            </w:pPr>
            <w:r w:rsidRPr="0022070C">
              <w:t>2014.</w:t>
            </w:r>
            <w:r w:rsidR="00795371">
              <w:t xml:space="preserve"> </w:t>
            </w:r>
            <w:r w:rsidRPr="0022070C">
              <w:t>gada 31.</w:t>
            </w:r>
            <w:r w:rsidR="00795371">
              <w:t xml:space="preserve"> </w:t>
            </w:r>
            <w:r w:rsidRPr="0022070C">
              <w:t>martā stājās spēkā grozījumi Civilpr</w:t>
            </w:r>
            <w:r w:rsidR="00795371">
              <w:t>ocesa likumā, grozījumi likumā “</w:t>
            </w:r>
            <w:r w:rsidRPr="0022070C">
              <w:t xml:space="preserve">Par policiju”, grozījumi Bērnu tiesību aizsardzības likumā, grozījumi Bāriņtiesu likumā un grozījumi Krimināllikumā, paredzot ieviest pagaidu aizsardzības pret vardarbību institūtu. </w:t>
            </w:r>
            <w:r w:rsidR="00810C01">
              <w:t xml:space="preserve">Minētais regulējums </w:t>
            </w:r>
            <w:r w:rsidRPr="0022070C">
              <w:t>paredz no vardarbības un vajāšanas cietušajām personām iespēju pēc savas iniciatīvas vērsties tiesā, tajā skaitā ar policijas starpniecību, un lūgt tiesu noteikt ierobe</w:t>
            </w:r>
            <w:r w:rsidR="00795371">
              <w:t xml:space="preserve">žojumus vardarbīgajai personai. </w:t>
            </w:r>
            <w:r w:rsidR="000F0D4D">
              <w:t>Vienlaikus ar</w:t>
            </w:r>
            <w:r w:rsidRPr="0022070C">
              <w:t xml:space="preserve"> šiem grozījumiem policijas darbinieka tiesības tika papildinātas ar tiesību pieņemt policijas lēmumu par nošķiršanu.</w:t>
            </w:r>
            <w:r w:rsidRPr="00780E7C">
              <w:t xml:space="preserve"> </w:t>
            </w:r>
            <w:r w:rsidR="00810C01" w:rsidRPr="00E1674D">
              <w:t>Saskaņā ar likuma “Par policiju”</w:t>
            </w:r>
            <w:r w:rsidR="00810C01" w:rsidRPr="00810C01">
              <w:t xml:space="preserve"> </w:t>
            </w:r>
            <w:hyperlink r:id="rId8" w:anchor="p12" w:tgtFrame="_blank" w:history="1">
              <w:r w:rsidR="00810C01" w:rsidRPr="00E1674D">
                <w:rPr>
                  <w:rStyle w:val="Hyperlink"/>
                  <w:iCs/>
                  <w:color w:val="auto"/>
                  <w:shd w:val="clear" w:color="auto" w:fill="FFFFFF"/>
                </w:rPr>
                <w:t>12.panta</w:t>
              </w:r>
            </w:hyperlink>
            <w:r w:rsidR="00810C01" w:rsidRPr="00E1674D">
              <w:rPr>
                <w:iCs/>
                <w:shd w:val="clear" w:color="auto" w:fill="FFFFFF"/>
              </w:rPr>
              <w:t xml:space="preserve"> sesto daļu, </w:t>
            </w:r>
            <w:r w:rsidR="00810C01" w:rsidRPr="00E1674D">
              <w:t>12</w:t>
            </w:r>
            <w:r w:rsidR="00810C01" w:rsidRPr="00E1674D">
              <w:rPr>
                <w:vertAlign w:val="superscript"/>
              </w:rPr>
              <w:t>1</w:t>
            </w:r>
            <w:r w:rsidR="00810C01" w:rsidRPr="00E1674D">
              <w:t>.panta devīto daļu</w:t>
            </w:r>
            <w:r w:rsidR="00810C01">
              <w:t xml:space="preserve"> </w:t>
            </w:r>
            <w:r w:rsidR="00810C01" w:rsidRPr="00E1674D">
              <w:rPr>
                <w:iCs/>
                <w:shd w:val="clear" w:color="auto" w:fill="FFFFFF"/>
              </w:rPr>
              <w:t>un </w:t>
            </w:r>
            <w:hyperlink r:id="rId9" w:tgtFrame="_blank" w:history="1">
              <w:r w:rsidR="00810C01" w:rsidRPr="00E1674D">
                <w:rPr>
                  <w:rStyle w:val="Hyperlink"/>
                  <w:iCs/>
                  <w:color w:val="auto"/>
                  <w:shd w:val="clear" w:color="auto" w:fill="FFFFFF"/>
                </w:rPr>
                <w:t>Civilprocesa likuma</w:t>
              </w:r>
            </w:hyperlink>
            <w:r w:rsidR="00810C01" w:rsidRPr="00810C01">
              <w:t xml:space="preserve"> </w:t>
            </w:r>
            <w:hyperlink r:id="rId10" w:anchor="p250.46" w:tgtFrame="_blank" w:history="1">
              <w:r w:rsidR="00810C01" w:rsidRPr="00E1674D">
                <w:rPr>
                  <w:rStyle w:val="Hyperlink"/>
                  <w:iCs/>
                  <w:color w:val="auto"/>
                  <w:shd w:val="clear" w:color="auto" w:fill="FFFFFF"/>
                </w:rPr>
                <w:t>250.</w:t>
              </w:r>
              <w:r w:rsidR="00810C01" w:rsidRPr="00E1674D">
                <w:rPr>
                  <w:rStyle w:val="Hyperlink"/>
                  <w:iCs/>
                  <w:color w:val="auto"/>
                  <w:shd w:val="clear" w:color="auto" w:fill="FFFFFF"/>
                  <w:vertAlign w:val="superscript"/>
                </w:rPr>
                <w:t>46</w:t>
              </w:r>
              <w:r w:rsidR="00810C01" w:rsidRPr="00E1674D">
                <w:rPr>
                  <w:rStyle w:val="Hyperlink"/>
                  <w:iCs/>
                  <w:color w:val="auto"/>
                  <w:shd w:val="clear" w:color="auto" w:fill="FFFFFF"/>
                </w:rPr>
                <w:t> panta</w:t>
              </w:r>
            </w:hyperlink>
            <w:r w:rsidR="00810C01" w:rsidRPr="00810C01">
              <w:rPr>
                <w:iCs/>
                <w:shd w:val="clear" w:color="auto" w:fill="FFFFFF"/>
              </w:rPr>
              <w:t xml:space="preserve"> </w:t>
            </w:r>
            <w:r w:rsidR="00810C01" w:rsidRPr="00E1674D">
              <w:rPr>
                <w:iCs/>
                <w:shd w:val="clear" w:color="auto" w:fill="FFFFFF"/>
              </w:rPr>
              <w:t>pirmo daļu</w:t>
            </w:r>
            <w:r w:rsidR="00810C01" w:rsidRPr="00810C01">
              <w:rPr>
                <w:iCs/>
                <w:shd w:val="clear" w:color="auto" w:fill="FFFFFF"/>
              </w:rPr>
              <w:t xml:space="preserve"> </w:t>
            </w:r>
            <w:r w:rsidR="00810C01" w:rsidRPr="00E1674D">
              <w:rPr>
                <w:iCs/>
                <w:shd w:val="clear" w:color="auto" w:fill="FFFFFF"/>
              </w:rPr>
              <w:t>un </w:t>
            </w:r>
            <w:hyperlink r:id="rId11" w:anchor="p250.56" w:tgtFrame="_blank" w:history="1">
              <w:r w:rsidR="00810C01" w:rsidRPr="00E1674D">
                <w:rPr>
                  <w:rStyle w:val="Hyperlink"/>
                  <w:iCs/>
                  <w:color w:val="auto"/>
                  <w:shd w:val="clear" w:color="auto" w:fill="FFFFFF"/>
                </w:rPr>
                <w:t>250.</w:t>
              </w:r>
              <w:r w:rsidR="00810C01" w:rsidRPr="00E1674D">
                <w:rPr>
                  <w:rStyle w:val="Hyperlink"/>
                  <w:iCs/>
                  <w:color w:val="auto"/>
                  <w:shd w:val="clear" w:color="auto" w:fill="FFFFFF"/>
                  <w:vertAlign w:val="superscript"/>
                </w:rPr>
                <w:t>56</w:t>
              </w:r>
              <w:r w:rsidR="00810C01" w:rsidRPr="00E1674D">
                <w:rPr>
                  <w:rStyle w:val="Hyperlink"/>
                  <w:iCs/>
                  <w:color w:val="auto"/>
                  <w:shd w:val="clear" w:color="auto" w:fill="FFFFFF"/>
                </w:rPr>
                <w:t> panta</w:t>
              </w:r>
            </w:hyperlink>
            <w:r w:rsidR="00810C01" w:rsidRPr="00E1674D">
              <w:rPr>
                <w:iCs/>
                <w:shd w:val="clear" w:color="auto" w:fill="FFFFFF"/>
              </w:rPr>
              <w:t> otro daļu</w:t>
            </w:r>
            <w:r w:rsidR="00810C01">
              <w:rPr>
                <w:iCs/>
                <w:shd w:val="clear" w:color="auto" w:fill="FFFFFF"/>
              </w:rPr>
              <w:t xml:space="preserve"> tika izdoti</w:t>
            </w:r>
            <w:r w:rsidR="00810C01">
              <w:t xml:space="preserve"> </w:t>
            </w:r>
            <w:r w:rsidR="00795371" w:rsidRPr="001121D0">
              <w:rPr>
                <w:color w:val="auto"/>
              </w:rPr>
              <w:t>Ministru kabineta 2014.</w:t>
            </w:r>
            <w:r w:rsidR="00795371">
              <w:rPr>
                <w:color w:val="auto"/>
              </w:rPr>
              <w:t xml:space="preserve"> </w:t>
            </w:r>
            <w:r w:rsidR="00795371" w:rsidRPr="001121D0">
              <w:rPr>
                <w:color w:val="auto"/>
              </w:rPr>
              <w:t>gada 25.</w:t>
            </w:r>
            <w:r w:rsidR="00795371">
              <w:rPr>
                <w:color w:val="auto"/>
              </w:rPr>
              <w:t xml:space="preserve"> marta noteikumi</w:t>
            </w:r>
            <w:r w:rsidR="00795371" w:rsidRPr="001121D0">
              <w:rPr>
                <w:color w:val="auto"/>
              </w:rPr>
              <w:t xml:space="preserve"> Nr.</w:t>
            </w:r>
            <w:r w:rsidR="00795371">
              <w:rPr>
                <w:color w:val="auto"/>
              </w:rPr>
              <w:t xml:space="preserve"> </w:t>
            </w:r>
            <w:r w:rsidR="00795371" w:rsidRPr="001121D0">
              <w:rPr>
                <w:color w:val="auto"/>
              </w:rPr>
              <w:t>161 “Kārtība, kādā novērš vardarbības draudus un nodrošina pagaidu aizsardzību pret vardarbību”</w:t>
            </w:r>
            <w:r w:rsidR="00795371">
              <w:rPr>
                <w:color w:val="auto"/>
              </w:rPr>
              <w:t xml:space="preserve"> (turpmāk – Noteikumi Nr. 161)</w:t>
            </w:r>
            <w:r>
              <w:t>.</w:t>
            </w:r>
            <w:r w:rsidR="00432656">
              <w:t xml:space="preserve"> </w:t>
            </w:r>
          </w:p>
          <w:p w14:paraId="498E0726" w14:textId="329AFDC1" w:rsidR="00BB1CF0" w:rsidRPr="00E1674D" w:rsidRDefault="00432656" w:rsidP="00432656">
            <w:pPr>
              <w:ind w:firstLine="364"/>
              <w:jc w:val="both"/>
            </w:pPr>
            <w:r>
              <w:t xml:space="preserve">Minētie noteikumi cita starpā nosaka kārtību, kādā pieņem, paziņo un izpilda policijas lēmumu par nošķiršanu. Taču </w:t>
            </w:r>
            <w:r>
              <w:rPr>
                <w:color w:val="auto"/>
              </w:rPr>
              <w:t>p</w:t>
            </w:r>
            <w:r w:rsidR="00BB1CF0" w:rsidRPr="00953E4C">
              <w:rPr>
                <w:color w:val="auto"/>
              </w:rPr>
              <w:t>raksē līdz šim nepastāvēja skaidra un</w:t>
            </w:r>
            <w:r>
              <w:rPr>
                <w:color w:val="auto"/>
              </w:rPr>
              <w:t xml:space="preserve"> vienveidīga prakse </w:t>
            </w:r>
            <w:r w:rsidR="00BB1CF0" w:rsidRPr="00953E4C">
              <w:rPr>
                <w:color w:val="auto"/>
              </w:rPr>
              <w:t>Valsts policijas un pašvaldības policijas darbiniekiem</w:t>
            </w:r>
            <w:r>
              <w:rPr>
                <w:color w:val="auto"/>
              </w:rPr>
              <w:t xml:space="preserve"> rīc</w:t>
            </w:r>
            <w:r w:rsidR="000B1B05">
              <w:rPr>
                <w:color w:val="auto"/>
              </w:rPr>
              <w:t xml:space="preserve">ībai, </w:t>
            </w:r>
            <w:r>
              <w:rPr>
                <w:color w:val="auto"/>
              </w:rPr>
              <w:t xml:space="preserve">ierodoties iespējamās aizsargājamās personas mājokļa adresē, un vērtējot, vai ir pamats pieņemt policijas lēmumu par nošķiršanu. Tāpat nebija </w:t>
            </w:r>
            <w:r w:rsidR="0079752E">
              <w:rPr>
                <w:color w:val="auto"/>
              </w:rPr>
              <w:t xml:space="preserve">vienotas izpratnes par turpmāko </w:t>
            </w:r>
            <w:r>
              <w:rPr>
                <w:color w:val="auto"/>
              </w:rPr>
              <w:t>sadarbīb</w:t>
            </w:r>
            <w:r w:rsidR="0079752E">
              <w:rPr>
                <w:color w:val="auto"/>
              </w:rPr>
              <w:t>u</w:t>
            </w:r>
            <w:r>
              <w:rPr>
                <w:color w:val="auto"/>
              </w:rPr>
              <w:t xml:space="preserve"> ar iesaistītajām institūcijām (pašvaldības sociālais dienests, bāriņtiesa, tiesa) vardarbības ģimenē novēršanai kopumā.</w:t>
            </w:r>
          </w:p>
          <w:p w14:paraId="68B507BB" w14:textId="14245189" w:rsidR="00BB1CF0" w:rsidRPr="00E1674D" w:rsidRDefault="00BB1CF0" w:rsidP="00E1674D">
            <w:pPr>
              <w:ind w:firstLine="402"/>
              <w:jc w:val="both"/>
              <w:rPr>
                <w:color w:val="auto"/>
              </w:rPr>
            </w:pPr>
            <w:r w:rsidRPr="00953E4C">
              <w:rPr>
                <w:color w:val="auto"/>
              </w:rPr>
              <w:t xml:space="preserve">Lai risinātu šo problēmu un mazinātu vardarbību Latvijā, iedrošinot ziņot un vērsties pēc palīdzības, Labklājības ministrija sadarbībā ar Valsts policiju un biedrību “Centrs Marta”, kā arī Tieslietu ministriju un Latvijas Lauku ģimenes </w:t>
            </w:r>
            <w:r w:rsidRPr="00953E4C">
              <w:rPr>
                <w:color w:val="auto"/>
              </w:rPr>
              <w:lastRenderedPageBreak/>
              <w:t>ārstu asociāciju no 2017. līdz 2019.</w:t>
            </w:r>
            <w:r>
              <w:rPr>
                <w:color w:val="auto"/>
              </w:rPr>
              <w:t xml:space="preserve"> </w:t>
            </w:r>
            <w:r w:rsidRPr="00953E4C">
              <w:rPr>
                <w:color w:val="auto"/>
              </w:rPr>
              <w:t>gadam īsteno</w:t>
            </w:r>
            <w:r>
              <w:rPr>
                <w:color w:val="auto"/>
              </w:rPr>
              <w:t>ja</w:t>
            </w:r>
            <w:r w:rsidRPr="00953E4C">
              <w:rPr>
                <w:color w:val="auto"/>
              </w:rPr>
              <w:t xml:space="preserve"> Eiropas Savienības līdzfinansētu starpnozaru projektu “Soli tuvāk: Kopienas vienotā atbilde uz vardarbību pret sievietēm gadījumiem”</w:t>
            </w:r>
            <w:r w:rsidR="005B6E54">
              <w:rPr>
                <w:color w:val="auto"/>
              </w:rPr>
              <w:t xml:space="preserve"> (turpmāk – projekts </w:t>
            </w:r>
            <w:r w:rsidR="000F0D4D">
              <w:rPr>
                <w:color w:val="auto"/>
              </w:rPr>
              <w:t>“</w:t>
            </w:r>
            <w:r w:rsidR="005B6E54">
              <w:rPr>
                <w:color w:val="auto"/>
              </w:rPr>
              <w:t>Soli tuvāk”)</w:t>
            </w:r>
            <w:r w:rsidRPr="00953E4C">
              <w:rPr>
                <w:color w:val="auto"/>
              </w:rPr>
              <w:t>.</w:t>
            </w:r>
            <w:r w:rsidRPr="00953E4C">
              <w:rPr>
                <w:color w:val="auto"/>
                <w:szCs w:val="28"/>
              </w:rPr>
              <w:t xml:space="preserve"> </w:t>
            </w:r>
            <w:r w:rsidR="005B6E54">
              <w:rPr>
                <w:color w:val="auto"/>
              </w:rPr>
              <w:t>Projekta</w:t>
            </w:r>
            <w:r w:rsidR="000F0D4D">
              <w:rPr>
                <w:color w:val="auto"/>
              </w:rPr>
              <w:t xml:space="preserve"> “</w:t>
            </w:r>
            <w:r w:rsidR="005B6E54">
              <w:rPr>
                <w:color w:val="auto"/>
              </w:rPr>
              <w:t xml:space="preserve">Soli tuvāk” </w:t>
            </w:r>
            <w:r w:rsidRPr="00953E4C">
              <w:rPr>
                <w:color w:val="auto"/>
              </w:rPr>
              <w:t xml:space="preserve">mērķis bija izstrādāt, pārbaudīt un adaptēt praksē tādu institucionālo sadarbības modeli vardarbības gadījumu risināšanai, kas tiek balstīts uz vardarbībā cietušo vajadzībām un situāciju; izstrādāt un speciālistiem piedāvāt jauno rīcības shēmu jeb ceļvedi, ko izmantot, lai novērtētu situāciju un rīkotos efektīvi katrā gadījumā. Projekta </w:t>
            </w:r>
            <w:r w:rsidR="000F0D4D">
              <w:rPr>
                <w:color w:val="auto"/>
              </w:rPr>
              <w:t>“</w:t>
            </w:r>
            <w:r w:rsidR="005B6E54">
              <w:rPr>
                <w:color w:val="auto"/>
              </w:rPr>
              <w:t xml:space="preserve">Soli tuvāk” </w:t>
            </w:r>
            <w:r w:rsidRPr="00953E4C">
              <w:rPr>
                <w:color w:val="auto"/>
              </w:rPr>
              <w:t xml:space="preserve">gaitā vairākās pašvaldībās tika izmantotas anketas, kuras policijas darbinieki (gan Valsts policijas, gan pašvaldības policijas) aizpildīja izsaukumu uz vardarbību </w:t>
            </w:r>
            <w:r w:rsidR="000B1B05">
              <w:rPr>
                <w:color w:val="auto"/>
              </w:rPr>
              <w:t>ģimenē gadījumos un nekavējoties nodeva to</w:t>
            </w:r>
            <w:r w:rsidRPr="00953E4C">
              <w:rPr>
                <w:color w:val="auto"/>
              </w:rPr>
              <w:t xml:space="preserve"> attiecīgajam </w:t>
            </w:r>
            <w:r w:rsidR="000B1B05">
              <w:rPr>
                <w:color w:val="auto"/>
              </w:rPr>
              <w:t xml:space="preserve">pašvaldības </w:t>
            </w:r>
            <w:r w:rsidRPr="00953E4C">
              <w:rPr>
                <w:color w:val="auto"/>
              </w:rPr>
              <w:t xml:space="preserve">sociālajam dienestam. </w:t>
            </w:r>
            <w:r w:rsidRPr="00953E4C">
              <w:rPr>
                <w:rFonts w:eastAsia="Calibri"/>
                <w:color w:val="auto"/>
                <w:szCs w:val="28"/>
              </w:rPr>
              <w:t xml:space="preserve">Saņemot informāciju, </w:t>
            </w:r>
            <w:r w:rsidR="000B1B05">
              <w:rPr>
                <w:rFonts w:eastAsia="Calibri"/>
                <w:color w:val="auto"/>
                <w:szCs w:val="28"/>
              </w:rPr>
              <w:t xml:space="preserve">pašvaldības </w:t>
            </w:r>
            <w:r w:rsidRPr="00953E4C">
              <w:rPr>
                <w:rFonts w:eastAsia="Calibri"/>
                <w:color w:val="auto"/>
                <w:szCs w:val="28"/>
              </w:rPr>
              <w:t xml:space="preserve">sociālais dienests sazinājās ar </w:t>
            </w:r>
            <w:r w:rsidR="000B1B05">
              <w:rPr>
                <w:rFonts w:eastAsia="Calibri"/>
                <w:color w:val="auto"/>
                <w:szCs w:val="28"/>
              </w:rPr>
              <w:t xml:space="preserve">aizsargājamo personu </w:t>
            </w:r>
            <w:r w:rsidRPr="00953E4C">
              <w:rPr>
                <w:rFonts w:eastAsia="Calibri"/>
                <w:color w:val="auto"/>
                <w:szCs w:val="28"/>
              </w:rPr>
              <w:t>tel</w:t>
            </w:r>
            <w:r w:rsidR="000B1B05">
              <w:rPr>
                <w:rFonts w:eastAsia="Calibri"/>
                <w:color w:val="auto"/>
                <w:szCs w:val="28"/>
              </w:rPr>
              <w:t xml:space="preserve">efoniski vai apmeklēja to klātienē un </w:t>
            </w:r>
            <w:r w:rsidR="000B1B05">
              <w:rPr>
                <w:color w:val="auto"/>
              </w:rPr>
              <w:t>informēja</w:t>
            </w:r>
            <w:r w:rsidR="000B1B05" w:rsidRPr="00244677">
              <w:rPr>
                <w:color w:val="auto"/>
              </w:rPr>
              <w:t xml:space="preserve"> šo personu vai tās likumisko pārstāvi par tiesībām un iespējām saņemt sociālos pakalpojumus un sociālo palīdzību, kā arī kārtību, kādā sociālie pakalpojum</w:t>
            </w:r>
            <w:r w:rsidR="000B1B05">
              <w:rPr>
                <w:color w:val="auto"/>
              </w:rPr>
              <w:t>i vai sociālā palīdzība saņemama.</w:t>
            </w:r>
          </w:p>
          <w:p w14:paraId="03F6835A" w14:textId="7F05AB81" w:rsidR="00BB1CF0" w:rsidRDefault="00BB1CF0" w:rsidP="00BB1CF0">
            <w:pPr>
              <w:jc w:val="both"/>
              <w:rPr>
                <w:rFonts w:eastAsia="Calibri"/>
                <w:color w:val="auto"/>
                <w:szCs w:val="28"/>
              </w:rPr>
            </w:pPr>
            <w:r w:rsidRPr="00953E4C">
              <w:rPr>
                <w:rFonts w:eastAsia="Calibri"/>
                <w:color w:val="auto"/>
                <w:szCs w:val="28"/>
              </w:rPr>
              <w:t xml:space="preserve">     Šāda prakse veicināja konsekventu </w:t>
            </w:r>
            <w:r w:rsidR="000B1B05">
              <w:rPr>
                <w:rFonts w:eastAsia="Calibri"/>
                <w:color w:val="auto"/>
                <w:szCs w:val="28"/>
              </w:rPr>
              <w:t xml:space="preserve">iesaistīto institūciju rīcību vardarbības ģimenē gadījumos un </w:t>
            </w:r>
            <w:r w:rsidR="007A1E83">
              <w:rPr>
                <w:rFonts w:eastAsia="Calibri"/>
                <w:color w:val="auto"/>
                <w:szCs w:val="28"/>
              </w:rPr>
              <w:t>sniedza iespēju</w:t>
            </w:r>
            <w:r w:rsidR="000B1B05">
              <w:rPr>
                <w:rFonts w:eastAsia="Calibri"/>
                <w:color w:val="auto"/>
                <w:szCs w:val="28"/>
              </w:rPr>
              <w:t xml:space="preserve"> pašvaldības sociālajam dienestam savlaicīgi saņemt</w:t>
            </w:r>
            <w:r w:rsidRPr="00953E4C">
              <w:rPr>
                <w:rFonts w:eastAsia="Calibri"/>
                <w:color w:val="auto"/>
                <w:szCs w:val="28"/>
              </w:rPr>
              <w:t xml:space="preserve"> informāciju par vardarbības gadījumiem </w:t>
            </w:r>
            <w:r w:rsidR="000B1B05">
              <w:rPr>
                <w:rFonts w:eastAsia="Calibri"/>
                <w:color w:val="auto"/>
                <w:szCs w:val="28"/>
              </w:rPr>
              <w:t>arī par tām personām, kas iepriekš nav bijušas</w:t>
            </w:r>
            <w:r w:rsidRPr="00953E4C">
              <w:rPr>
                <w:rFonts w:eastAsia="Calibri"/>
                <w:color w:val="auto"/>
                <w:szCs w:val="28"/>
              </w:rPr>
              <w:t xml:space="preserve"> sociālā</w:t>
            </w:r>
            <w:r w:rsidR="000B1B05">
              <w:rPr>
                <w:rFonts w:eastAsia="Calibri"/>
                <w:color w:val="auto"/>
                <w:szCs w:val="28"/>
              </w:rPr>
              <w:t xml:space="preserve"> dienesta redzeslokā un</w:t>
            </w:r>
            <w:r w:rsidR="0033186D">
              <w:rPr>
                <w:rFonts w:eastAsia="Calibri"/>
                <w:color w:val="auto"/>
                <w:szCs w:val="28"/>
              </w:rPr>
              <w:t xml:space="preserve"> atbilstoši reaģēt, veicinot vardarbības ģimenē novēršanu kopumā.</w:t>
            </w:r>
          </w:p>
          <w:p w14:paraId="12697C58" w14:textId="3EA844BA" w:rsidR="0033186D" w:rsidRPr="009F2F33" w:rsidRDefault="0033186D" w:rsidP="0033186D">
            <w:pPr>
              <w:ind w:firstLine="402"/>
              <w:jc w:val="both"/>
              <w:rPr>
                <w:rFonts w:eastAsia="Calibri"/>
                <w:color w:val="auto"/>
                <w:szCs w:val="28"/>
              </w:rPr>
            </w:pPr>
            <w:r w:rsidRPr="009F2F33">
              <w:rPr>
                <w:rFonts w:eastAsia="Calibri"/>
                <w:color w:val="auto"/>
                <w:szCs w:val="28"/>
              </w:rPr>
              <w:t>Vardarbība ģimenē ir komplicēta parādība, kuras risināšanai var būt nepiecieša</w:t>
            </w:r>
            <w:r>
              <w:rPr>
                <w:rFonts w:eastAsia="Calibri"/>
                <w:color w:val="auto"/>
                <w:szCs w:val="28"/>
              </w:rPr>
              <w:t>ma dažādu institūciju</w:t>
            </w:r>
            <w:r w:rsidRPr="009F2F33">
              <w:rPr>
                <w:rFonts w:eastAsia="Calibri"/>
                <w:color w:val="auto"/>
                <w:szCs w:val="28"/>
              </w:rPr>
              <w:t xml:space="preserve"> speciālistu aktīva iesaistīšanās. Bieži vien valsts un pašvaldību iestādes neuzzina par pirmo vardarbības gadījumu</w:t>
            </w:r>
            <w:r w:rsidRPr="009F2F33">
              <w:rPr>
                <w:rFonts w:eastAsia="Calibri"/>
                <w:color w:val="auto"/>
                <w:szCs w:val="28"/>
                <w:vertAlign w:val="superscript"/>
              </w:rPr>
              <w:footnoteReference w:id="1"/>
            </w:r>
            <w:r w:rsidRPr="009F2F33">
              <w:rPr>
                <w:rFonts w:eastAsia="Calibri"/>
                <w:color w:val="auto"/>
                <w:szCs w:val="28"/>
              </w:rPr>
              <w:t xml:space="preserve">, un to redzeslokā nonāk “aizlaistie gadījumi”, </w:t>
            </w:r>
            <w:proofErr w:type="gramStart"/>
            <w:r w:rsidRPr="009F2F33">
              <w:rPr>
                <w:rFonts w:eastAsia="Calibri"/>
                <w:color w:val="auto"/>
                <w:szCs w:val="28"/>
              </w:rPr>
              <w:t>kur vardarbība</w:t>
            </w:r>
            <w:proofErr w:type="gramEnd"/>
            <w:r w:rsidRPr="009F2F33">
              <w:rPr>
                <w:rFonts w:eastAsia="Calibri"/>
                <w:color w:val="auto"/>
                <w:szCs w:val="28"/>
              </w:rPr>
              <w:t xml:space="preserve"> ir turpinājusies gadiem ilgi. Tie prasa kompleksu un ilgstošu intervenci, un tajos gadījumos novērst atkārtotu vardarbību ir sarežģītāk. Tādēļ dažādām institūcijām savlaicīgi </w:t>
            </w:r>
            <w:proofErr w:type="gramStart"/>
            <w:r w:rsidRPr="009F2F33">
              <w:rPr>
                <w:rFonts w:eastAsia="Calibri"/>
                <w:color w:val="auto"/>
                <w:szCs w:val="28"/>
              </w:rPr>
              <w:t>un</w:t>
            </w:r>
            <w:proofErr w:type="gramEnd"/>
            <w:r w:rsidRPr="009F2F33">
              <w:rPr>
                <w:rFonts w:eastAsia="Calibri"/>
                <w:color w:val="auto"/>
                <w:szCs w:val="28"/>
              </w:rPr>
              <w:t xml:space="preserve"> saskaņoti reaģējot uz pirmo vardarbības gadījumu, var efektīvāk novērst vardarbības atkārtošanos un tādejādi ilgtermiņā ietaupīt institūci</w:t>
            </w:r>
            <w:r>
              <w:rPr>
                <w:rFonts w:eastAsia="Calibri"/>
                <w:color w:val="auto"/>
                <w:szCs w:val="28"/>
              </w:rPr>
              <w:t xml:space="preserve">ju </w:t>
            </w:r>
            <w:r w:rsidRPr="009F2F33">
              <w:rPr>
                <w:rFonts w:eastAsia="Calibri"/>
                <w:color w:val="auto"/>
                <w:szCs w:val="28"/>
              </w:rPr>
              <w:t xml:space="preserve">resursus. </w:t>
            </w:r>
          </w:p>
          <w:p w14:paraId="116B8733" w14:textId="77777777" w:rsidR="00E1674D" w:rsidRDefault="0033186D" w:rsidP="00E1674D">
            <w:pPr>
              <w:jc w:val="both"/>
              <w:rPr>
                <w:rFonts w:eastAsia="Calibri"/>
                <w:color w:val="auto"/>
                <w:szCs w:val="28"/>
              </w:rPr>
            </w:pPr>
            <w:r>
              <w:rPr>
                <w:rFonts w:eastAsia="Calibri"/>
                <w:color w:val="auto"/>
                <w:szCs w:val="28"/>
              </w:rPr>
              <w:t>Ņemot vērā minēto labo praksi</w:t>
            </w:r>
            <w:r w:rsidR="007A1E83">
              <w:rPr>
                <w:rFonts w:eastAsia="Calibri"/>
                <w:color w:val="auto"/>
                <w:szCs w:val="28"/>
              </w:rPr>
              <w:t xml:space="preserve">, </w:t>
            </w:r>
            <w:r>
              <w:rPr>
                <w:rFonts w:eastAsia="Calibri"/>
                <w:color w:val="auto"/>
                <w:szCs w:val="28"/>
              </w:rPr>
              <w:t>tika izstrādāts projekts.</w:t>
            </w:r>
            <w:r w:rsidR="00E1674D">
              <w:rPr>
                <w:rFonts w:eastAsia="Calibri"/>
                <w:color w:val="auto"/>
                <w:szCs w:val="28"/>
              </w:rPr>
              <w:t xml:space="preserve"> </w:t>
            </w:r>
          </w:p>
          <w:p w14:paraId="779E2443" w14:textId="5937FB8B" w:rsidR="00C420D3" w:rsidRPr="00C420D3" w:rsidRDefault="00E1674D" w:rsidP="00E1674D">
            <w:pPr>
              <w:jc w:val="both"/>
            </w:pPr>
            <w:r>
              <w:rPr>
                <w:rFonts w:eastAsia="Calibri"/>
                <w:color w:val="auto"/>
                <w:szCs w:val="28"/>
              </w:rPr>
              <w:t xml:space="preserve">     </w:t>
            </w:r>
            <w:r w:rsidR="00C420D3" w:rsidRPr="00C420D3">
              <w:t>P</w:t>
            </w:r>
            <w:r w:rsidR="001164FA">
              <w:t>rojekta 1. punkt</w:t>
            </w:r>
            <w:r w:rsidR="00937CB7">
              <w:t>ā ietverts redakcionāls precizējums, kas</w:t>
            </w:r>
            <w:r>
              <w:t xml:space="preserve"> </w:t>
            </w:r>
            <w:r w:rsidR="00C420D3" w:rsidRPr="00C420D3">
              <w:t xml:space="preserve">paredz </w:t>
            </w:r>
            <w:r w:rsidR="00C420D3">
              <w:t>a</w:t>
            </w:r>
            <w:r w:rsidR="00C420D3" w:rsidRPr="00C420D3">
              <w:t xml:space="preserve">izstāt </w:t>
            </w:r>
            <w:r w:rsidR="00C420D3">
              <w:t>Noteikumu Nr. 161</w:t>
            </w:r>
            <w:proofErr w:type="gramStart"/>
            <w:r w:rsidR="00C420D3">
              <w:t xml:space="preserve"> </w:t>
            </w:r>
            <w:r w:rsidR="00C420D3" w:rsidRPr="00C420D3">
              <w:t xml:space="preserve"> </w:t>
            </w:r>
            <w:proofErr w:type="gramEnd"/>
            <w:r w:rsidR="00C420D3" w:rsidRPr="00C420D3">
              <w:t xml:space="preserve">2. punktā vārdus un </w:t>
            </w:r>
            <w:r w:rsidR="0033186D">
              <w:t>skaitli</w:t>
            </w:r>
            <w:r w:rsidR="00C420D3" w:rsidRPr="00C420D3">
              <w:t xml:space="preserve"> “Ieroču un speciālo līdzekļu aprites likuma 51. panta trešo daļu” ar vārdiem un </w:t>
            </w:r>
            <w:r w:rsidR="0033186D">
              <w:t>skaitli</w:t>
            </w:r>
            <w:r w:rsidR="00C420D3" w:rsidRPr="00C420D3">
              <w:t xml:space="preserve"> “Ieroču aprit</w:t>
            </w:r>
            <w:r w:rsidR="00C420D3">
              <w:t xml:space="preserve">es likuma 90. panta trešo daļu”, ņemot vērā to, ka </w:t>
            </w:r>
            <w:r w:rsidR="001164FA">
              <w:t xml:space="preserve">2019. gada 14. martā pieņemts un 2019. gada 10. aprīlī stājās spēkā Ieroču aprites likums, ar kura spēkā stāšanos spēku zaudēja Ieroču un speciālo līdzekļu </w:t>
            </w:r>
            <w:r w:rsidR="001164FA">
              <w:lastRenderedPageBreak/>
              <w:t>aprites likums</w:t>
            </w:r>
            <w:r w:rsidR="0033186D">
              <w:t>, tādējādi precizējot atsauci uz atbilstošu Ieroču aprites likuma normu</w:t>
            </w:r>
            <w:r w:rsidR="00840B22">
              <w:t>.</w:t>
            </w:r>
            <w:r w:rsidR="001164FA">
              <w:t xml:space="preserve"> </w:t>
            </w:r>
          </w:p>
          <w:p w14:paraId="4A40BADE" w14:textId="39C68DDE" w:rsidR="009F2F33" w:rsidRDefault="00937CB7" w:rsidP="009E6038">
            <w:pPr>
              <w:ind w:firstLine="402"/>
              <w:jc w:val="both"/>
              <w:rPr>
                <w:rFonts w:eastAsia="Calibri"/>
                <w:bCs/>
                <w:color w:val="auto"/>
              </w:rPr>
            </w:pPr>
            <w:r>
              <w:rPr>
                <w:color w:val="auto"/>
              </w:rPr>
              <w:t xml:space="preserve">Savukārt </w:t>
            </w:r>
            <w:r w:rsidRPr="001121D0">
              <w:rPr>
                <w:color w:val="auto"/>
              </w:rPr>
              <w:t>projekt</w:t>
            </w:r>
            <w:r>
              <w:rPr>
                <w:color w:val="auto"/>
              </w:rPr>
              <w:t>a 2. punkts paredz izteikt jaunā redakcijā</w:t>
            </w:r>
            <w:r w:rsidRPr="001121D0">
              <w:rPr>
                <w:color w:val="auto"/>
              </w:rPr>
              <w:t xml:space="preserve"> </w:t>
            </w:r>
            <w:r>
              <w:rPr>
                <w:color w:val="auto"/>
              </w:rPr>
              <w:t>Noteikumu Nr. 161 4.1.</w:t>
            </w:r>
            <w:r w:rsidR="000F0D4D">
              <w:rPr>
                <w:color w:val="auto"/>
              </w:rPr>
              <w:t xml:space="preserve"> </w:t>
            </w:r>
            <w:r>
              <w:rPr>
                <w:color w:val="auto"/>
              </w:rPr>
              <w:t>apakšpunktu</w:t>
            </w:r>
            <w:r w:rsidR="009E6038">
              <w:rPr>
                <w:color w:val="auto"/>
              </w:rPr>
              <w:t>,</w:t>
            </w:r>
            <w:r>
              <w:rPr>
                <w:color w:val="auto"/>
              </w:rPr>
              <w:t xml:space="preserve"> paredzot, ka policijas darbinieks</w:t>
            </w:r>
            <w:r w:rsidRPr="001121D0">
              <w:rPr>
                <w:color w:val="auto"/>
              </w:rPr>
              <w:t>, ierodoties iespējamās aizsargājamās per</w:t>
            </w:r>
            <w:r>
              <w:rPr>
                <w:color w:val="auto"/>
              </w:rPr>
              <w:t>sonas mājokļa adresē, noskaidro notikuma</w:t>
            </w:r>
            <w:r w:rsidRPr="001121D0">
              <w:rPr>
                <w:color w:val="auto"/>
              </w:rPr>
              <w:t xml:space="preserve"> apstākļus, </w:t>
            </w:r>
            <w:r w:rsidRPr="00E1674D">
              <w:t>apzinot aizsargājamo personu un personu, kas rada draudus</w:t>
            </w:r>
            <w:r w:rsidR="000F0D4D">
              <w:t>,</w:t>
            </w:r>
            <w:r>
              <w:rPr>
                <w:color w:val="auto"/>
              </w:rPr>
              <w:t xml:space="preserve"> un sastāda </w:t>
            </w:r>
            <w:r w:rsidRPr="001121D0">
              <w:rPr>
                <w:color w:val="auto"/>
              </w:rPr>
              <w:t>Ziņojumu par notikumu (turpmāk – Ziņojums)</w:t>
            </w:r>
            <w:r>
              <w:rPr>
                <w:color w:val="auto"/>
              </w:rPr>
              <w:t>. Ziņojuma sagatavošana nodrošinās vispusīgu un vienveidīgu</w:t>
            </w:r>
            <w:r w:rsidRPr="001121D0">
              <w:rPr>
                <w:color w:val="auto"/>
              </w:rPr>
              <w:t xml:space="preserve"> informācijas</w:t>
            </w:r>
            <w:r>
              <w:rPr>
                <w:color w:val="auto"/>
              </w:rPr>
              <w:t xml:space="preserve"> apjomu, ko policijas darbinieks iegūst izsaukuma laik</w:t>
            </w:r>
            <w:r w:rsidR="009E6038">
              <w:rPr>
                <w:color w:val="auto"/>
              </w:rPr>
              <w:t xml:space="preserve">ā. </w:t>
            </w:r>
            <w:r w:rsidR="00143E6B">
              <w:rPr>
                <w:rFonts w:eastAsia="Calibri"/>
                <w:bCs/>
                <w:color w:val="auto"/>
              </w:rPr>
              <w:t xml:space="preserve">Atbilstoši </w:t>
            </w:r>
            <w:r w:rsidR="00143E6B">
              <w:rPr>
                <w:color w:val="auto"/>
              </w:rPr>
              <w:t>Noteikumu Nr. 161</w:t>
            </w:r>
            <w:r w:rsidR="00143E6B">
              <w:rPr>
                <w:bCs/>
              </w:rPr>
              <w:t>. 4 un 5. punktā noteiktajam,</w:t>
            </w:r>
            <w:r w:rsidR="00143E6B" w:rsidRPr="00953E4C">
              <w:rPr>
                <w:rFonts w:eastAsia="Calibri"/>
                <w:bCs/>
                <w:color w:val="auto"/>
              </w:rPr>
              <w:t xml:space="preserve"> pirms tiek pieņemts policijas lēmums par nošķiršanu</w:t>
            </w:r>
            <w:r w:rsidR="00143E6B" w:rsidRPr="00953E4C">
              <w:rPr>
                <w:rFonts w:eastAsia="Calibri"/>
                <w:b/>
                <w:bCs/>
                <w:color w:val="auto"/>
              </w:rPr>
              <w:t xml:space="preserve"> </w:t>
            </w:r>
            <w:r w:rsidR="00143E6B" w:rsidRPr="00795371">
              <w:rPr>
                <w:rFonts w:eastAsia="Calibri"/>
                <w:bCs/>
                <w:color w:val="auto"/>
              </w:rPr>
              <w:t>policijas darbiniekam ir jāiz</w:t>
            </w:r>
            <w:r w:rsidR="00143E6B">
              <w:rPr>
                <w:rFonts w:eastAsia="Calibri"/>
                <w:bCs/>
                <w:color w:val="auto"/>
              </w:rPr>
              <w:t xml:space="preserve">vērtē </w:t>
            </w:r>
            <w:r w:rsidR="00143E6B" w:rsidRPr="00953E4C">
              <w:rPr>
                <w:rFonts w:eastAsia="Calibri"/>
                <w:bCs/>
                <w:color w:val="auto"/>
              </w:rPr>
              <w:t>vardarbības draudu risk</w:t>
            </w:r>
            <w:r w:rsidR="00143E6B">
              <w:rPr>
                <w:rFonts w:eastAsia="Calibri"/>
                <w:bCs/>
                <w:color w:val="auto"/>
              </w:rPr>
              <w:t>s</w:t>
            </w:r>
            <w:r w:rsidR="00143E6B" w:rsidRPr="00953E4C">
              <w:rPr>
                <w:rFonts w:eastAsia="Calibri"/>
                <w:b/>
                <w:bCs/>
                <w:color w:val="auto"/>
              </w:rPr>
              <w:t xml:space="preserve"> </w:t>
            </w:r>
            <w:r w:rsidR="00143E6B" w:rsidRPr="00953E4C">
              <w:rPr>
                <w:rFonts w:eastAsia="Calibri"/>
                <w:bCs/>
                <w:color w:val="auto"/>
              </w:rPr>
              <w:t xml:space="preserve">un </w:t>
            </w:r>
            <w:r w:rsidR="00143E6B">
              <w:rPr>
                <w:rFonts w:eastAsia="Calibri"/>
                <w:bCs/>
                <w:color w:val="auto"/>
              </w:rPr>
              <w:t>jāizvērtē,</w:t>
            </w:r>
            <w:r w:rsidR="00143E6B" w:rsidRPr="00953E4C">
              <w:rPr>
                <w:rFonts w:eastAsia="Calibri"/>
                <w:bCs/>
                <w:color w:val="auto"/>
              </w:rPr>
              <w:t xml:space="preserve"> vai persona, kas rada draudus, varētu nodarīt kaitējumu aizsargājamās personas dzīvībai vai veselībai</w:t>
            </w:r>
            <w:r w:rsidR="009E6038">
              <w:rPr>
                <w:rFonts w:eastAsia="Calibri"/>
                <w:bCs/>
                <w:color w:val="auto"/>
              </w:rPr>
              <w:t xml:space="preserve"> un Ziņojuma sagatavošana būs palīglīdzeklis minētā riska izvērtēšanai.</w:t>
            </w:r>
          </w:p>
          <w:p w14:paraId="525505D1" w14:textId="6660A5CB" w:rsidR="005B6E54" w:rsidRPr="001121D0" w:rsidRDefault="005B6E54" w:rsidP="005B6E54">
            <w:pPr>
              <w:ind w:firstLine="403"/>
              <w:jc w:val="both"/>
              <w:rPr>
                <w:color w:val="auto"/>
              </w:rPr>
            </w:pPr>
            <w:r>
              <w:rPr>
                <w:color w:val="auto"/>
              </w:rPr>
              <w:t>Saskaņā ar projektā paredzēto</w:t>
            </w:r>
            <w:r w:rsidR="009B00DE">
              <w:rPr>
                <w:color w:val="auto"/>
              </w:rPr>
              <w:t>,</w:t>
            </w:r>
            <w:r>
              <w:rPr>
                <w:color w:val="auto"/>
              </w:rPr>
              <w:t xml:space="preserve"> Ziņojumā iekļauj</w:t>
            </w:r>
            <w:r w:rsidRPr="001121D0">
              <w:rPr>
                <w:color w:val="auto"/>
              </w:rPr>
              <w:t xml:space="preserve"> šādas ziņas:</w:t>
            </w:r>
          </w:p>
          <w:p w14:paraId="22CCF69F" w14:textId="77777777" w:rsidR="005B6E54" w:rsidRDefault="005B6E54" w:rsidP="005B6E54">
            <w:pPr>
              <w:ind w:firstLine="403"/>
              <w:jc w:val="both"/>
            </w:pPr>
            <w:r>
              <w:t>- informāciju par notikumu, norādot ziņas par Ziņojuma aizpildītāju, notikuma vietas adresi, laiku, kā arī informāciju par personu, kura izsaukusi policiju;</w:t>
            </w:r>
          </w:p>
          <w:p w14:paraId="2C1E077B" w14:textId="77777777" w:rsidR="005B6E54" w:rsidRDefault="005B6E54" w:rsidP="005B6E54">
            <w:pPr>
              <w:ind w:firstLine="403"/>
              <w:jc w:val="both"/>
            </w:pPr>
            <w:r>
              <w:t xml:space="preserve">- </w:t>
            </w:r>
            <w:r w:rsidRPr="005778E1">
              <w:t>informāciju par aizsargājamo personu;</w:t>
            </w:r>
          </w:p>
          <w:p w14:paraId="1711CBBC" w14:textId="77777777" w:rsidR="005B6E54" w:rsidRDefault="005B6E54" w:rsidP="005B6E54">
            <w:pPr>
              <w:ind w:firstLine="403"/>
              <w:jc w:val="both"/>
            </w:pPr>
            <w:r>
              <w:t>-</w:t>
            </w:r>
            <w:r w:rsidRPr="005778E1">
              <w:t xml:space="preserve"> informāciju par </w:t>
            </w:r>
            <w:r>
              <w:t>personu, kas rada draudus</w:t>
            </w:r>
            <w:r w:rsidRPr="005778E1">
              <w:t>;</w:t>
            </w:r>
          </w:p>
          <w:p w14:paraId="20C19ACE" w14:textId="77777777" w:rsidR="005B6E54" w:rsidRDefault="005B6E54" w:rsidP="005B6E54">
            <w:pPr>
              <w:ind w:firstLine="403"/>
              <w:jc w:val="both"/>
            </w:pPr>
            <w:r>
              <w:t>-</w:t>
            </w:r>
            <w:r w:rsidRPr="005778E1">
              <w:t xml:space="preserve"> informāciju par aizsargājamās personas un </w:t>
            </w:r>
            <w:r>
              <w:t>personas, kas rada draudus,</w:t>
            </w:r>
            <w:r w:rsidRPr="005778E1">
              <w:t xml:space="preserve"> attiecību statusu;</w:t>
            </w:r>
          </w:p>
          <w:p w14:paraId="3E5C8A75" w14:textId="77777777" w:rsidR="005B6E54" w:rsidRDefault="005B6E54" w:rsidP="005B6E54">
            <w:pPr>
              <w:ind w:firstLine="403"/>
              <w:jc w:val="both"/>
            </w:pPr>
            <w:r>
              <w:t>-</w:t>
            </w:r>
            <w:r w:rsidRPr="005778E1">
              <w:t xml:space="preserve"> </w:t>
            </w:r>
            <w:r>
              <w:t>notikuma būtības</w:t>
            </w:r>
            <w:r w:rsidRPr="005778E1">
              <w:t xml:space="preserve"> aprakstu;</w:t>
            </w:r>
          </w:p>
          <w:p w14:paraId="7F387820" w14:textId="77777777" w:rsidR="005B6E54" w:rsidRDefault="005B6E54" w:rsidP="005B6E54">
            <w:pPr>
              <w:ind w:firstLine="403"/>
              <w:jc w:val="both"/>
            </w:pPr>
            <w:r>
              <w:t>-</w:t>
            </w:r>
            <w:r w:rsidRPr="005778E1">
              <w:t xml:space="preserve"> aizsargājamās personas aptauju;</w:t>
            </w:r>
            <w:r>
              <w:t xml:space="preserve"> </w:t>
            </w:r>
          </w:p>
          <w:p w14:paraId="34656AB9" w14:textId="77777777" w:rsidR="005B6E54" w:rsidRDefault="005B6E54" w:rsidP="005B6E54">
            <w:pPr>
              <w:ind w:firstLine="403"/>
              <w:jc w:val="both"/>
            </w:pPr>
            <w:r>
              <w:t xml:space="preserve">- </w:t>
            </w:r>
            <w:r w:rsidRPr="005778E1">
              <w:t xml:space="preserve">informāciju par to, vai </w:t>
            </w:r>
            <w:r>
              <w:t>persona, kas rada draudus,</w:t>
            </w:r>
            <w:r w:rsidRPr="005778E1">
              <w:t xml:space="preserve"> notikuma vietā atrodas reibuma stāvoklī;</w:t>
            </w:r>
          </w:p>
          <w:p w14:paraId="31BC01DE" w14:textId="77777777" w:rsidR="005B6E54" w:rsidRDefault="005B6E54" w:rsidP="005B6E54">
            <w:pPr>
              <w:ind w:firstLine="403"/>
              <w:jc w:val="both"/>
            </w:pPr>
            <w:r>
              <w:t>-</w:t>
            </w:r>
            <w:r w:rsidRPr="005778E1">
              <w:t xml:space="preserve"> informāciju par to, vai aizsargājamā persona notikuma vietā atrodas reibuma stāvoklī;</w:t>
            </w:r>
          </w:p>
          <w:p w14:paraId="14A06024" w14:textId="549EFDF6" w:rsidR="005B6E54" w:rsidRDefault="005B6E54" w:rsidP="005B6E54">
            <w:pPr>
              <w:ind w:firstLine="403"/>
              <w:jc w:val="both"/>
            </w:pPr>
            <w:r>
              <w:t xml:space="preserve">- </w:t>
            </w:r>
            <w:r w:rsidRPr="005778E1">
              <w:t xml:space="preserve">norādi, </w:t>
            </w:r>
            <w:r>
              <w:t>ka aizsargājamā persona ir informēta par to, ka policija nodos Ziņojuma kopiju sociālajam dienestam, lai tā varētu saņemt informāciju par pieejamajiem sociālajiem pakalpojumiem un sociālo palīdzību.</w:t>
            </w:r>
          </w:p>
          <w:p w14:paraId="08B127F9" w14:textId="5522D5CD" w:rsidR="00BD143C" w:rsidRPr="00840B22" w:rsidRDefault="005B6E54" w:rsidP="00840B22">
            <w:pPr>
              <w:ind w:firstLine="403"/>
              <w:jc w:val="both"/>
              <w:rPr>
                <w:color w:val="auto"/>
                <w:spacing w:val="11"/>
              </w:rPr>
            </w:pPr>
            <w:r>
              <w:t>Ziņojuma saturs tika izstrādāts sadarbībā ar projektā</w:t>
            </w:r>
            <w:r w:rsidR="009B00DE">
              <w:t xml:space="preserve"> “</w:t>
            </w:r>
            <w:r>
              <w:t xml:space="preserve">Soli tuvāk” iesaistītajām institūcijām un psihologiem. Tāpat tika vērtēta Ziņojuma satura atbilstība </w:t>
            </w:r>
            <w:r>
              <w:rPr>
                <w:rFonts w:eastAsia="Calibri"/>
              </w:rPr>
              <w:t xml:space="preserve">Eiropas Parlamenta un Padomes regulas (ES) 2016/679 par fizisko personu aizsardzību attiecībā uz </w:t>
            </w:r>
            <w:r w:rsidRPr="00BD143C">
              <w:rPr>
                <w:rFonts w:eastAsia="Calibri"/>
              </w:rPr>
              <w:t>personas datu apstrādi un šādu datu brīvu apriti un ar ko atceļ Direk</w:t>
            </w:r>
            <w:r w:rsidR="00C738C8" w:rsidRPr="00BD143C">
              <w:rPr>
                <w:rFonts w:eastAsia="Calibri"/>
              </w:rPr>
              <w:t xml:space="preserve">tīvu 95/46 EK </w:t>
            </w:r>
            <w:r w:rsidRPr="000F0D4D">
              <w:rPr>
                <w:rFonts w:eastAsia="Calibri"/>
              </w:rPr>
              <w:t>pamatprincipiem.</w:t>
            </w:r>
            <w:r w:rsidR="007A6D61" w:rsidRPr="000F0D4D">
              <w:rPr>
                <w:rFonts w:eastAsia="Calibri"/>
              </w:rPr>
              <w:t xml:space="preserve"> </w:t>
            </w:r>
            <w:r w:rsidR="00C738C8" w:rsidRPr="000F0D4D">
              <w:rPr>
                <w:rFonts w:eastAsia="Calibri"/>
              </w:rPr>
              <w:t>Viens no policijas uzdevumiem saskaņ</w:t>
            </w:r>
            <w:r w:rsidR="009B00DE">
              <w:rPr>
                <w:rFonts w:eastAsia="Calibri"/>
              </w:rPr>
              <w:t>ā ar likumu “</w:t>
            </w:r>
            <w:r w:rsidR="00C738C8" w:rsidRPr="000F0D4D">
              <w:rPr>
                <w:rFonts w:eastAsia="Calibri"/>
              </w:rPr>
              <w:t>Par policiju</w:t>
            </w:r>
            <w:r w:rsidR="00C738C8" w:rsidRPr="009B00DE">
              <w:rPr>
                <w:rFonts w:eastAsia="Calibri"/>
              </w:rPr>
              <w:t xml:space="preserve">” ir </w:t>
            </w:r>
            <w:r w:rsidR="00C738C8" w:rsidRPr="009B00DE">
              <w:t xml:space="preserve">garantēt personu un sabiedrības drošību. </w:t>
            </w:r>
            <w:r w:rsidR="009204B0" w:rsidRPr="009B00DE">
              <w:rPr>
                <w:rFonts w:eastAsia="Calibri"/>
              </w:rPr>
              <w:t>Saskaņ</w:t>
            </w:r>
            <w:r w:rsidR="009B00DE">
              <w:rPr>
                <w:rFonts w:eastAsia="Calibri"/>
              </w:rPr>
              <w:t>ā ar likuma “</w:t>
            </w:r>
            <w:r w:rsidR="009204B0" w:rsidRPr="009B00DE">
              <w:rPr>
                <w:rFonts w:eastAsia="Calibri"/>
              </w:rPr>
              <w:t>Par policiju” 12.</w:t>
            </w:r>
            <w:r w:rsidR="009B00DE">
              <w:rPr>
                <w:rFonts w:eastAsia="Calibri"/>
              </w:rPr>
              <w:t xml:space="preserve"> </w:t>
            </w:r>
            <w:r w:rsidR="009204B0" w:rsidRPr="009B00DE">
              <w:rPr>
                <w:rFonts w:eastAsia="Calibri"/>
              </w:rPr>
              <w:t>panta pirmās daļas 10.</w:t>
            </w:r>
            <w:r w:rsidR="009204B0" w:rsidRPr="009B00DE">
              <w:rPr>
                <w:rFonts w:eastAsia="Calibri"/>
                <w:vertAlign w:val="superscript"/>
              </w:rPr>
              <w:t>1</w:t>
            </w:r>
            <w:r w:rsidR="009B00DE">
              <w:rPr>
                <w:rFonts w:eastAsia="Calibri"/>
                <w:vertAlign w:val="superscript"/>
              </w:rPr>
              <w:t xml:space="preserve"> </w:t>
            </w:r>
            <w:r w:rsidR="009204B0" w:rsidRPr="009B00DE">
              <w:rPr>
                <w:rFonts w:eastAsia="Calibri"/>
              </w:rPr>
              <w:t xml:space="preserve">punktu </w:t>
            </w:r>
            <w:r w:rsidR="009204B0" w:rsidRPr="009B00DE">
              <w:t xml:space="preserve">policijas darbiniekam, </w:t>
            </w:r>
            <w:r w:rsidR="00840B22">
              <w:t>pildot viņam</w:t>
            </w:r>
            <w:r w:rsidR="009204B0" w:rsidRPr="009B00DE">
              <w:t xml:space="preserve"> uzliktos pienākumus</w:t>
            </w:r>
            <w:proofErr w:type="gramStart"/>
            <w:r w:rsidR="00840B22">
              <w:t>, atbilstoši dienesta kompetencei</w:t>
            </w:r>
            <w:proofErr w:type="gramEnd"/>
            <w:r w:rsidR="009204B0" w:rsidRPr="009B00DE">
              <w:t xml:space="preserve">, ir tiesības, ja pastāv tūlītēji draudi, ka persona, kas atrodas mājoklī vai tā tuvumā, var nodarīt </w:t>
            </w:r>
            <w:r w:rsidR="009204B0" w:rsidRPr="006B61F6">
              <w:t>kaitējumu šajā mājoklī pastāvīgi dzīvojošas personas dzīvībai, brīvībai vai veselībai, uz rakstveida pieteikuma pamata pieņemt policijas lēmums par nošķiršanu.</w:t>
            </w:r>
            <w:r w:rsidR="00C738C8" w:rsidRPr="006B61F6">
              <w:t xml:space="preserve"> </w:t>
            </w:r>
            <w:r w:rsidR="00C738C8" w:rsidRPr="00840B22">
              <w:t xml:space="preserve">Vēršam uzmanību, ka Ziņojumā ietvertā </w:t>
            </w:r>
            <w:r w:rsidR="00C738C8" w:rsidRPr="00840B22">
              <w:rPr>
                <w:color w:val="auto"/>
              </w:rPr>
              <w:lastRenderedPageBreak/>
              <w:t xml:space="preserve">informācija </w:t>
            </w:r>
            <w:r w:rsidR="00C738C8" w:rsidRPr="00840B22">
              <w:rPr>
                <w:color w:val="auto"/>
                <w:spacing w:val="11"/>
              </w:rPr>
              <w:t>tiek vākta likum</w:t>
            </w:r>
            <w:r w:rsidR="009B00DE" w:rsidRPr="00840B22">
              <w:rPr>
                <w:color w:val="auto"/>
                <w:spacing w:val="11"/>
              </w:rPr>
              <w:t>ā “</w:t>
            </w:r>
            <w:r w:rsidR="00C738C8" w:rsidRPr="00840B22">
              <w:rPr>
                <w:color w:val="auto"/>
                <w:spacing w:val="11"/>
              </w:rPr>
              <w:t>Par policiju” noteiktam, konkrētam un skaidram mērķim un tam nepieciešamajā apjomā.</w:t>
            </w:r>
          </w:p>
          <w:p w14:paraId="7281A526" w14:textId="555027D8" w:rsidR="005B6E54" w:rsidRPr="00E1674D" w:rsidRDefault="00BD143C" w:rsidP="00840B22">
            <w:pPr>
              <w:ind w:firstLine="403"/>
              <w:jc w:val="both"/>
              <w:rPr>
                <w:color w:val="auto"/>
              </w:rPr>
            </w:pPr>
            <w:r w:rsidRPr="00840B22">
              <w:rPr>
                <w:color w:val="auto"/>
                <w:spacing w:val="11"/>
              </w:rPr>
              <w:t>Projekta 3.</w:t>
            </w:r>
            <w:r w:rsidR="009B00DE" w:rsidRPr="00840B22">
              <w:rPr>
                <w:color w:val="auto"/>
                <w:spacing w:val="11"/>
              </w:rPr>
              <w:t xml:space="preserve"> </w:t>
            </w:r>
            <w:r w:rsidRPr="00840B22">
              <w:rPr>
                <w:color w:val="auto"/>
                <w:spacing w:val="11"/>
              </w:rPr>
              <w:t>punkts paredz svītrot</w:t>
            </w:r>
            <w:r w:rsidR="00C738C8" w:rsidRPr="00840B22">
              <w:rPr>
                <w:color w:val="auto"/>
                <w:spacing w:val="11"/>
              </w:rPr>
              <w:t xml:space="preserve"> </w:t>
            </w:r>
            <w:r w:rsidRPr="00840B22">
              <w:rPr>
                <w:color w:val="auto"/>
                <w:spacing w:val="11"/>
              </w:rPr>
              <w:t>Noteikumu Nr. 161 4.2.</w:t>
            </w:r>
            <w:r w:rsidR="009B00DE" w:rsidRPr="00840B22">
              <w:rPr>
                <w:color w:val="auto"/>
                <w:spacing w:val="11"/>
              </w:rPr>
              <w:t xml:space="preserve"> </w:t>
            </w:r>
            <w:r w:rsidRPr="00840B22">
              <w:rPr>
                <w:color w:val="auto"/>
                <w:spacing w:val="11"/>
              </w:rPr>
              <w:t>apakšpunktu, ņemot vērā, ka, lai ievērotu darbību loģisko secību, saskaņā ar projekta 2.</w:t>
            </w:r>
            <w:r w:rsidR="009B00DE" w:rsidRPr="00840B22">
              <w:rPr>
                <w:color w:val="auto"/>
                <w:spacing w:val="11"/>
              </w:rPr>
              <w:t xml:space="preserve"> </w:t>
            </w:r>
            <w:r w:rsidRPr="00840B22">
              <w:rPr>
                <w:color w:val="auto"/>
                <w:spacing w:val="11"/>
              </w:rPr>
              <w:t>punktā ietverto Noteikumu Nr. 161 4.1.</w:t>
            </w:r>
            <w:r w:rsidR="009B00DE" w:rsidRPr="00840B22">
              <w:rPr>
                <w:color w:val="auto"/>
                <w:spacing w:val="11"/>
              </w:rPr>
              <w:t xml:space="preserve"> </w:t>
            </w:r>
            <w:r w:rsidRPr="00840B22">
              <w:rPr>
                <w:color w:val="auto"/>
                <w:spacing w:val="11"/>
              </w:rPr>
              <w:t>apakšpunktu policijas darbiniekam, noskaidrojot notikuma apstākļus,</w:t>
            </w:r>
            <w:r w:rsidRPr="00E1674D">
              <w:rPr>
                <w:color w:val="auto"/>
                <w:spacing w:val="11"/>
              </w:rPr>
              <w:t xml:space="preserve"> ir jā</w:t>
            </w:r>
            <w:r w:rsidRPr="00E1674D">
              <w:rPr>
                <w:color w:val="auto"/>
              </w:rPr>
              <w:t>apzina aizsargājamā persona un persona, kas rada draudus.</w:t>
            </w:r>
          </w:p>
          <w:p w14:paraId="1D83B735" w14:textId="27032FF7" w:rsidR="00790909" w:rsidRDefault="005B6E54" w:rsidP="00790909">
            <w:pPr>
              <w:ind w:firstLine="364"/>
              <w:jc w:val="both"/>
            </w:pPr>
            <w:r w:rsidRPr="00E1674D">
              <w:rPr>
                <w:color w:val="auto"/>
              </w:rPr>
              <w:t>Projekt</w:t>
            </w:r>
            <w:r w:rsidR="00BD143C" w:rsidRPr="00E1674D">
              <w:rPr>
                <w:color w:val="auto"/>
              </w:rPr>
              <w:t>a 4</w:t>
            </w:r>
            <w:r w:rsidRPr="00E1674D">
              <w:rPr>
                <w:color w:val="auto"/>
              </w:rPr>
              <w:t xml:space="preserve">. punkts </w:t>
            </w:r>
            <w:r w:rsidR="009B00DE" w:rsidRPr="00E1674D">
              <w:rPr>
                <w:color w:val="auto"/>
              </w:rPr>
              <w:t>paredz papildināt</w:t>
            </w:r>
            <w:r w:rsidR="00790909" w:rsidRPr="00E1674D">
              <w:rPr>
                <w:color w:val="auto"/>
              </w:rPr>
              <w:t xml:space="preserve"> Noteikumus Nr. 161 ar jaunu 9.</w:t>
            </w:r>
            <w:r w:rsidR="00790909" w:rsidRPr="00E1674D">
              <w:rPr>
                <w:color w:val="auto"/>
                <w:vertAlign w:val="superscript"/>
              </w:rPr>
              <w:t xml:space="preserve">1 </w:t>
            </w:r>
            <w:r w:rsidR="00790909" w:rsidRPr="00E1674D">
              <w:rPr>
                <w:color w:val="auto"/>
              </w:rPr>
              <w:t>punktu un noteikt, ka Ziņojuma kopiju un informāciju, par to, vai ir pieņemts policijas lēmums par nošķiršanu, policijas darbinieks nekavējoties</w:t>
            </w:r>
            <w:r w:rsidR="00790909" w:rsidRPr="00E1674D">
              <w:t xml:space="preserve">, bet ne vēlāk kā nākamajā darba dienā, nosūta pašvaldības sociālajam dienestam, </w:t>
            </w:r>
            <w:r w:rsidR="00790909" w:rsidRPr="00E1674D">
              <w:rPr>
                <w:bCs/>
              </w:rPr>
              <w:t>kuram saskaņā ar normatīvajiem aktiem sociālo pakalpojumu un sociālās palīdzības jomā ir pienākums</w:t>
            </w:r>
            <w:r w:rsidR="00790909" w:rsidRPr="00E1674D">
              <w:t xml:space="preserve"> izvērtēt personas vajadzības pēc sociālajiem pakalpojumiem un sociālās palīdzības un informēt šo personu vai tās likumisko pārstāvi par tiesībām un iespējām saņemt sociālos pakalpojumus un sociālo palīdzību.</w:t>
            </w:r>
            <w:r w:rsidR="00E1674D">
              <w:t xml:space="preserve"> J</w:t>
            </w:r>
            <w:r w:rsidR="00790909">
              <w:rPr>
                <w:color w:val="auto"/>
              </w:rPr>
              <w:t>āņem vērā, ka s</w:t>
            </w:r>
            <w:r w:rsidR="009F2F33" w:rsidRPr="00790909">
              <w:rPr>
                <w:color w:val="auto"/>
              </w:rPr>
              <w:t xml:space="preserve">askaņā ar Sociālo pakalpojumu un sociālās palīdzības likuma </w:t>
            </w:r>
            <w:r w:rsidR="00790909" w:rsidRPr="00244677">
              <w:rPr>
                <w:color w:val="auto"/>
              </w:rPr>
              <w:t xml:space="preserve">9. panta otro daļu, </w:t>
            </w:r>
            <w:r w:rsidR="00790909" w:rsidRPr="00244677">
              <w:rPr>
                <w:bCs/>
                <w:color w:val="auto"/>
              </w:rPr>
              <w:t>j</w:t>
            </w:r>
            <w:r w:rsidR="00790909" w:rsidRPr="00244677">
              <w:rPr>
                <w:color w:val="auto"/>
              </w:rPr>
              <w:t>a pašvaldība no fiziskajām personām vai institūcijām</w:t>
            </w:r>
            <w:r w:rsidR="00790909">
              <w:rPr>
                <w:color w:val="auto"/>
              </w:rPr>
              <w:t>,</w:t>
            </w:r>
            <w:r w:rsidR="00790909" w:rsidRPr="00244677">
              <w:rPr>
                <w:color w:val="auto"/>
              </w:rPr>
              <w:t xml:space="preserve"> saņēmusi informāciju par personu, kurai varētu būt nepieciešams sociālās aprūpes, sociālās rehabilitācijas pakalpojums vai sociālā palīdzība, pašvaldībai ir pienākums likumā "</w:t>
            </w:r>
            <w:hyperlink r:id="rId12" w:tgtFrame="_blank" w:history="1">
              <w:r w:rsidR="00790909" w:rsidRPr="00244677">
                <w:rPr>
                  <w:color w:val="auto"/>
                </w:rPr>
                <w:t>Par sociālo drošību</w:t>
              </w:r>
            </w:hyperlink>
            <w:r w:rsidR="00790909" w:rsidRPr="00244677">
              <w:rPr>
                <w:color w:val="auto"/>
              </w:rPr>
              <w:t>" noteiktajā kārtībā pārbaudīt saņemto informāciju, izvērtēt personas vajadzības pēc sociālajiem pakalpojumiem un sociālās palīdzības un informēt šo personu vai tās likumisko pārstāvi par tiesībām un iespējām saņemt sociālos pakalpojumus un sociālo palīdzību, kā arī kārtību, kādā sociālie pakalpojum</w:t>
            </w:r>
            <w:r w:rsidR="00790909">
              <w:rPr>
                <w:color w:val="auto"/>
              </w:rPr>
              <w:t xml:space="preserve">i vai sociālā palīdzība saņemama. </w:t>
            </w:r>
            <w:r w:rsidR="00790909">
              <w:t>Lai nodrošinātu sociālo pakalpojumu un sociālās palīdzības sniegšanu un pakalpojumu administrēšanu, katra pašvaldība izveido pašvaldības iestādi — sociālo dienestu.</w:t>
            </w:r>
          </w:p>
          <w:p w14:paraId="5594BAFA" w14:textId="79569C52" w:rsidR="00790909" w:rsidRDefault="00790909" w:rsidP="00790909">
            <w:pPr>
              <w:ind w:firstLine="364"/>
              <w:jc w:val="both"/>
              <w:rPr>
                <w:color w:val="auto"/>
              </w:rPr>
            </w:pPr>
            <w:r>
              <w:rPr>
                <w:color w:val="auto"/>
              </w:rPr>
              <w:t xml:space="preserve">Vēršam uzmanību, ka </w:t>
            </w:r>
            <w:r>
              <w:t>p</w:t>
            </w:r>
            <w:r w:rsidRPr="00837182">
              <w:rPr>
                <w:color w:val="auto"/>
              </w:rPr>
              <w:t>ēc iespējas ātrāka p</w:t>
            </w:r>
            <w:r w:rsidRPr="00F619CA">
              <w:rPr>
                <w:color w:val="auto"/>
              </w:rPr>
              <w:t>aš</w:t>
            </w:r>
            <w:r w:rsidRPr="00837182">
              <w:rPr>
                <w:color w:val="auto"/>
              </w:rPr>
              <w:t xml:space="preserve">valdības sociālā dienesta iesaiste situācijas risināšanā </w:t>
            </w:r>
            <w:proofErr w:type="spellStart"/>
            <w:r w:rsidRPr="00837182">
              <w:rPr>
                <w:color w:val="auto"/>
              </w:rPr>
              <w:t>nevien</w:t>
            </w:r>
            <w:proofErr w:type="spellEnd"/>
            <w:r w:rsidRPr="00837182">
              <w:rPr>
                <w:color w:val="auto"/>
              </w:rPr>
              <w:t xml:space="preserve"> ļaus savlaicīgi piedāvāt personai nepieciešamo palīdzību, bet veicinās vardarbības ģimenē novēršanu kopumā.</w:t>
            </w:r>
            <w:r>
              <w:rPr>
                <w:color w:val="auto"/>
              </w:rPr>
              <w:t xml:space="preserve"> Ziņojuma nosūtīšana </w:t>
            </w:r>
            <w:r w:rsidR="00727A17">
              <w:rPr>
                <w:color w:val="auto"/>
              </w:rPr>
              <w:t xml:space="preserve">pašvaldības sociālajam dienestam </w:t>
            </w:r>
            <w:r w:rsidRPr="00F619CA">
              <w:rPr>
                <w:color w:val="auto"/>
              </w:rPr>
              <w:t>sekmēs personu tiesību aizsardzību no noziedzīgiem un citiem prettiesiskiem apdraudējumiem, garantējot</w:t>
            </w:r>
            <w:r w:rsidR="00727A17">
              <w:rPr>
                <w:color w:val="auto"/>
              </w:rPr>
              <w:t xml:space="preserve"> personu un sabiedrības drošību. Vienlaikus nekavējoša pašvaldības sociālā dienesta iesaiste varētu mazināt atkārtotus vardarbības ģimenē gadījumus.</w:t>
            </w:r>
          </w:p>
          <w:p w14:paraId="4BA7A238" w14:textId="4053D718" w:rsidR="000F0D4D" w:rsidRDefault="00CA4BA2" w:rsidP="00E1674D">
            <w:pPr>
              <w:jc w:val="both"/>
            </w:pPr>
            <w:r w:rsidRPr="00953E4C">
              <w:rPr>
                <w:rFonts w:eastAsia="Calibri"/>
                <w:bCs/>
                <w:color w:val="auto"/>
              </w:rPr>
              <w:t xml:space="preserve">     </w:t>
            </w:r>
            <w:r w:rsidR="002E25C1">
              <w:t xml:space="preserve">Ir paredzēts, ka Ziņojums kalpos par universālu </w:t>
            </w:r>
            <w:r w:rsidR="00EA1A2E">
              <w:t>dokumentu</w:t>
            </w:r>
            <w:r w:rsidR="002E25C1">
              <w:t xml:space="preserve"> v</w:t>
            </w:r>
            <w:r w:rsidR="00465F75">
              <w:t xml:space="preserve">airāku institūciju informēšanai. Policijas darbinieks </w:t>
            </w:r>
            <w:r w:rsidR="009B00DE">
              <w:t xml:space="preserve">pašvaldības </w:t>
            </w:r>
            <w:r w:rsidR="00465F75">
              <w:t xml:space="preserve">sociālo dienestu informēs visos gadījumos, kad </w:t>
            </w:r>
            <w:r w:rsidR="001B70C5">
              <w:t xml:space="preserve">izsaukuma laikā </w:t>
            </w:r>
            <w:r w:rsidR="00465F75">
              <w:t xml:space="preserve">būs </w:t>
            </w:r>
            <w:r w:rsidR="001B70C5">
              <w:t xml:space="preserve">konstatēts vardarbības draudu risks, neatkarīgi no tā, vai tiks pieņemts policijas lēmums par nošķiršanu, vai nē (piemēram, ja konstatēts vardarbības draudu risks, bet aizsargājamā persona atsakās rakstīt </w:t>
            </w:r>
            <w:r w:rsidR="00727A17">
              <w:t>pieteikumu policijas</w:t>
            </w:r>
            <w:r w:rsidR="001B70C5">
              <w:t xml:space="preserve"> lēmuma par nošķiršanu pieņemšanai).</w:t>
            </w:r>
            <w:r w:rsidR="00465F75">
              <w:t xml:space="preserve"> </w:t>
            </w:r>
            <w:r w:rsidR="00727A17">
              <w:t xml:space="preserve">Tāpat jāņem vērā, ka saskaņā ar </w:t>
            </w:r>
            <w:r w:rsidR="00277AAD">
              <w:t xml:space="preserve">Bērnu tiesību aizsardzības likuma 51. panta </w:t>
            </w:r>
            <w:r w:rsidR="00277AAD">
              <w:lastRenderedPageBreak/>
              <w:t>ceturt</w:t>
            </w:r>
            <w:r w:rsidR="00727A17">
              <w:t>o</w:t>
            </w:r>
            <w:r w:rsidR="00277AAD">
              <w:t xml:space="preserve"> daļ</w:t>
            </w:r>
            <w:r w:rsidR="00727A17">
              <w:t>u policijai ir pienākums informēt bāriņtiesu pēc bērna atrašanās vietas par policijas pieņemto lēmumu par nošķiršanu, ja šis lēmums ir pieņemts saistībā ar kaitējuma draudiem bērna vai tās personas, kas pastāvīgi dzīvo kopā ar bērnu, brīvībai, dzīvībai vai veselībai. Ņemot vērā minēto, lai bāriņtiesai būtu pieejam vispusīga informācija par notikumu, Ziņojums tiks nosūtīts arī bāriņtiesai.</w:t>
            </w:r>
            <w:r w:rsidR="00465F75">
              <w:t xml:space="preserve"> </w:t>
            </w:r>
          </w:p>
          <w:p w14:paraId="6231D522" w14:textId="68A43EE9" w:rsidR="000F0D4D" w:rsidRPr="000F0D4D" w:rsidRDefault="000F0D4D" w:rsidP="00E1674D">
            <w:pPr>
              <w:pBdr>
                <w:top w:val="none" w:sz="0" w:space="0" w:color="auto"/>
                <w:left w:val="none" w:sz="0" w:space="0" w:color="auto"/>
                <w:bottom w:val="none" w:sz="0" w:space="0" w:color="auto"/>
                <w:right w:val="none" w:sz="0" w:space="0" w:color="auto"/>
                <w:between w:val="none" w:sz="0" w:space="0" w:color="auto"/>
              </w:pBdr>
              <w:ind w:firstLine="500"/>
              <w:jc w:val="both"/>
            </w:pPr>
            <w:r>
              <w:rPr>
                <w:color w:val="auto"/>
              </w:rPr>
              <w:t>Vienlaikus projekts paredz precizēt Noteikumu Nr. 161 13.2. apakšpunktu nosakot, ka, j</w:t>
            </w:r>
            <w:r>
              <w:t>a aizsargājamā persona vai tās likumiskais pārstāvis izteicis lūgumu, lai tiesa izskata jautājumu par pagaidu aizsardzību pret vardarbību, policijas darbinieks likuma "</w:t>
            </w:r>
            <w:hyperlink r:id="rId13" w:tgtFrame="_blank" w:history="1">
              <w:r>
                <w:rPr>
                  <w:rStyle w:val="Hyperlink"/>
                </w:rPr>
                <w:t>Par policiju</w:t>
              </w:r>
            </w:hyperlink>
            <w:r>
              <w:t xml:space="preserve">" </w:t>
            </w:r>
            <w:hyperlink r:id="rId14" w:anchor="p12.1" w:tgtFrame="_blank" w:history="1">
              <w:r>
                <w:rPr>
                  <w:rStyle w:val="Hyperlink"/>
                </w:rPr>
                <w:t>12.</w:t>
              </w:r>
              <w:r>
                <w:rPr>
                  <w:rStyle w:val="Hyperlink"/>
                  <w:vertAlign w:val="superscript"/>
                </w:rPr>
                <w:t>1</w:t>
              </w:r>
              <w:r>
                <w:rPr>
                  <w:rStyle w:val="Hyperlink"/>
                </w:rPr>
                <w:t xml:space="preserve"> panta</w:t>
              </w:r>
            </w:hyperlink>
            <w:r>
              <w:t xml:space="preserve"> sestajā daļā noteiktajā termiņā nosūta tiesai pēc aizskāruma nodarīšanas vietas paredzētos dokumentus un Ziņojumu, lai tiesai būtu pieejama vispusīga informācija par notikumu.</w:t>
            </w:r>
          </w:p>
          <w:p w14:paraId="2A41A3BF" w14:textId="23D9A9AB" w:rsidR="00727A17" w:rsidRPr="00716565" w:rsidRDefault="00727A17" w:rsidP="00E1674D">
            <w:pPr>
              <w:pBdr>
                <w:top w:val="none" w:sz="0" w:space="0" w:color="auto"/>
                <w:left w:val="none" w:sz="0" w:space="0" w:color="auto"/>
                <w:bottom w:val="none" w:sz="0" w:space="0" w:color="auto"/>
                <w:right w:val="none" w:sz="0" w:space="0" w:color="auto"/>
                <w:between w:val="none" w:sz="0" w:space="0" w:color="auto"/>
              </w:pBdr>
              <w:ind w:firstLine="500"/>
              <w:jc w:val="both"/>
            </w:pPr>
          </w:p>
        </w:tc>
      </w:tr>
      <w:tr w:rsidR="00DF1B2F" w:rsidRPr="00F31BFB" w14:paraId="165F472A" w14:textId="77777777" w:rsidTr="00795371">
        <w:trPr>
          <w:trHeight w:val="460"/>
        </w:trPr>
        <w:tc>
          <w:tcPr>
            <w:tcW w:w="520" w:type="dxa"/>
            <w:tcBorders>
              <w:top w:val="single" w:sz="6" w:space="0" w:color="414142"/>
              <w:left w:val="single" w:sz="6" w:space="0" w:color="414142"/>
              <w:bottom w:val="single" w:sz="6" w:space="0" w:color="414142"/>
              <w:right w:val="single" w:sz="6" w:space="0" w:color="414142"/>
            </w:tcBorders>
          </w:tcPr>
          <w:p w14:paraId="5F7E2F71" w14:textId="2CCA5178" w:rsidR="000C7EFF" w:rsidRPr="00F31BFB" w:rsidRDefault="00E203EE">
            <w:pPr>
              <w:jc w:val="center"/>
              <w:rPr>
                <w:color w:val="auto"/>
              </w:rPr>
            </w:pPr>
            <w:r w:rsidRPr="00F31BFB">
              <w:rPr>
                <w:color w:val="auto"/>
              </w:rPr>
              <w:lastRenderedPageBreak/>
              <w:t>3.</w:t>
            </w:r>
          </w:p>
        </w:tc>
        <w:tc>
          <w:tcPr>
            <w:tcW w:w="2592" w:type="dxa"/>
            <w:tcBorders>
              <w:top w:val="single" w:sz="6" w:space="0" w:color="414142"/>
              <w:left w:val="single" w:sz="6" w:space="0" w:color="414142"/>
              <w:bottom w:val="single" w:sz="6" w:space="0" w:color="414142"/>
              <w:right w:val="single" w:sz="6" w:space="0" w:color="414142"/>
            </w:tcBorders>
          </w:tcPr>
          <w:p w14:paraId="06EEF51B" w14:textId="77777777" w:rsidR="000C7EFF" w:rsidRPr="00F31BFB" w:rsidRDefault="00E203EE">
            <w:pPr>
              <w:rPr>
                <w:color w:val="auto"/>
              </w:rPr>
            </w:pPr>
            <w:r w:rsidRPr="00F31BFB">
              <w:rPr>
                <w:color w:val="auto"/>
              </w:rPr>
              <w:t>Projekta izstrādē iesaistītās institūcijas un publiskas personas kapitālsabiedrības</w:t>
            </w:r>
          </w:p>
        </w:tc>
        <w:tc>
          <w:tcPr>
            <w:tcW w:w="6064" w:type="dxa"/>
            <w:tcBorders>
              <w:top w:val="single" w:sz="6" w:space="0" w:color="414142"/>
              <w:left w:val="single" w:sz="6" w:space="0" w:color="414142"/>
              <w:bottom w:val="single" w:sz="6" w:space="0" w:color="414142"/>
              <w:right w:val="single" w:sz="6" w:space="0" w:color="414142"/>
            </w:tcBorders>
          </w:tcPr>
          <w:p w14:paraId="183DCFF2" w14:textId="46AEA6A9" w:rsidR="000C7EFF" w:rsidRPr="00F31BFB" w:rsidRDefault="00E203EE" w:rsidP="00557B38">
            <w:pPr>
              <w:spacing w:after="120"/>
              <w:jc w:val="both"/>
              <w:rPr>
                <w:color w:val="auto"/>
              </w:rPr>
            </w:pPr>
            <w:r w:rsidRPr="00F31BFB">
              <w:rPr>
                <w:color w:val="auto"/>
              </w:rPr>
              <w:t>Iekšlietu ministrija</w:t>
            </w:r>
            <w:r w:rsidR="00557B38">
              <w:rPr>
                <w:color w:val="auto"/>
              </w:rPr>
              <w:t xml:space="preserve"> un</w:t>
            </w:r>
            <w:r w:rsidRPr="00F31BFB">
              <w:rPr>
                <w:color w:val="auto"/>
              </w:rPr>
              <w:t xml:space="preserve"> Valsts policija</w:t>
            </w:r>
            <w:r w:rsidR="00557B38">
              <w:rPr>
                <w:color w:val="auto"/>
              </w:rPr>
              <w:t>.</w:t>
            </w:r>
          </w:p>
        </w:tc>
      </w:tr>
      <w:tr w:rsidR="00DF1B2F" w:rsidRPr="00F31BFB" w14:paraId="7DD73408" w14:textId="77777777" w:rsidTr="00795371">
        <w:tc>
          <w:tcPr>
            <w:tcW w:w="520" w:type="dxa"/>
            <w:tcBorders>
              <w:top w:val="single" w:sz="6" w:space="0" w:color="414142"/>
              <w:left w:val="single" w:sz="6" w:space="0" w:color="414142"/>
              <w:bottom w:val="single" w:sz="6" w:space="0" w:color="414142"/>
              <w:right w:val="single" w:sz="6" w:space="0" w:color="414142"/>
            </w:tcBorders>
          </w:tcPr>
          <w:p w14:paraId="6039DE56" w14:textId="77777777" w:rsidR="000C7EFF" w:rsidRPr="00F31BFB" w:rsidRDefault="00E203EE">
            <w:pPr>
              <w:jc w:val="center"/>
              <w:rPr>
                <w:color w:val="auto"/>
              </w:rPr>
            </w:pPr>
            <w:r w:rsidRPr="00F31BFB">
              <w:rPr>
                <w:color w:val="auto"/>
              </w:rPr>
              <w:t>4.</w:t>
            </w:r>
          </w:p>
        </w:tc>
        <w:tc>
          <w:tcPr>
            <w:tcW w:w="2592" w:type="dxa"/>
            <w:tcBorders>
              <w:top w:val="single" w:sz="6" w:space="0" w:color="414142"/>
              <w:left w:val="single" w:sz="6" w:space="0" w:color="414142"/>
              <w:bottom w:val="single" w:sz="6" w:space="0" w:color="414142"/>
              <w:right w:val="single" w:sz="6" w:space="0" w:color="414142"/>
            </w:tcBorders>
          </w:tcPr>
          <w:p w14:paraId="27137F68" w14:textId="77777777" w:rsidR="000C7EFF" w:rsidRPr="00F31BFB" w:rsidRDefault="00E203EE">
            <w:pPr>
              <w:rPr>
                <w:color w:val="auto"/>
              </w:rPr>
            </w:pPr>
            <w:r w:rsidRPr="00F31BFB">
              <w:rPr>
                <w:color w:val="auto"/>
              </w:rPr>
              <w:t>Cita informācija</w:t>
            </w:r>
          </w:p>
        </w:tc>
        <w:tc>
          <w:tcPr>
            <w:tcW w:w="6064" w:type="dxa"/>
            <w:tcBorders>
              <w:top w:val="single" w:sz="6" w:space="0" w:color="414142"/>
              <w:left w:val="single" w:sz="6" w:space="0" w:color="414142"/>
              <w:bottom w:val="single" w:sz="6" w:space="0" w:color="414142"/>
              <w:right w:val="single" w:sz="6" w:space="0" w:color="414142"/>
            </w:tcBorders>
          </w:tcPr>
          <w:p w14:paraId="320B7D6B" w14:textId="77777777" w:rsidR="000C7EFF" w:rsidRPr="00F31BFB" w:rsidRDefault="00E203EE">
            <w:pPr>
              <w:rPr>
                <w:color w:val="auto"/>
              </w:rPr>
            </w:pPr>
            <w:r w:rsidRPr="00F31BFB">
              <w:rPr>
                <w:color w:val="auto"/>
              </w:rPr>
              <w:t>Nav</w:t>
            </w:r>
          </w:p>
        </w:tc>
      </w:tr>
    </w:tbl>
    <w:p w14:paraId="43F3FFA8" w14:textId="77777777" w:rsidR="000C7EFF" w:rsidRPr="00F31BFB" w:rsidRDefault="000C7EFF">
      <w:pPr>
        <w:shd w:val="clear" w:color="auto" w:fill="FFFFFF"/>
        <w:ind w:firstLine="300"/>
        <w:rPr>
          <w:color w:val="auto"/>
        </w:rPr>
      </w:pPr>
    </w:p>
    <w:tbl>
      <w:tblPr>
        <w:tblStyle w:val="a1"/>
        <w:tblW w:w="9176" w:type="dxa"/>
        <w:tblInd w:w="-112"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520"/>
        <w:gridCol w:w="2592"/>
        <w:gridCol w:w="6064"/>
      </w:tblGrid>
      <w:tr w:rsidR="00DF1B2F" w:rsidRPr="00F31BFB" w14:paraId="5B5CA5D2" w14:textId="77777777" w:rsidTr="00795371">
        <w:trPr>
          <w:trHeight w:val="220"/>
        </w:trPr>
        <w:tc>
          <w:tcPr>
            <w:tcW w:w="9176" w:type="dxa"/>
            <w:gridSpan w:val="3"/>
            <w:tcBorders>
              <w:top w:val="single" w:sz="6" w:space="0" w:color="414142"/>
              <w:left w:val="single" w:sz="6" w:space="0" w:color="414142"/>
              <w:bottom w:val="single" w:sz="6" w:space="0" w:color="414142"/>
              <w:right w:val="single" w:sz="6" w:space="0" w:color="414142"/>
            </w:tcBorders>
            <w:vAlign w:val="center"/>
          </w:tcPr>
          <w:p w14:paraId="02A3A77A" w14:textId="77777777" w:rsidR="000C7EFF" w:rsidRPr="00F31BFB" w:rsidRDefault="00E203EE">
            <w:pPr>
              <w:jc w:val="center"/>
              <w:rPr>
                <w:b/>
                <w:color w:val="auto"/>
              </w:rPr>
            </w:pPr>
            <w:r w:rsidRPr="00F31BFB">
              <w:rPr>
                <w:b/>
                <w:color w:val="auto"/>
              </w:rPr>
              <w:t>II. Tiesību akta projekta ietekme uz sabiedrību, tautsaimniecības attīstību un administratīvo slogu</w:t>
            </w:r>
          </w:p>
        </w:tc>
      </w:tr>
      <w:tr w:rsidR="00DF1B2F" w:rsidRPr="00F31BFB" w14:paraId="04D9447F" w14:textId="77777777" w:rsidTr="00795371">
        <w:trPr>
          <w:trHeight w:val="460"/>
        </w:trPr>
        <w:tc>
          <w:tcPr>
            <w:tcW w:w="520" w:type="dxa"/>
            <w:tcBorders>
              <w:top w:val="single" w:sz="6" w:space="0" w:color="414142"/>
              <w:left w:val="single" w:sz="6" w:space="0" w:color="414142"/>
              <w:bottom w:val="single" w:sz="6" w:space="0" w:color="414142"/>
              <w:right w:val="single" w:sz="6" w:space="0" w:color="414142"/>
            </w:tcBorders>
          </w:tcPr>
          <w:p w14:paraId="0C525378" w14:textId="77777777" w:rsidR="000C7EFF" w:rsidRPr="00F31BFB" w:rsidRDefault="00E203EE">
            <w:pPr>
              <w:rPr>
                <w:color w:val="auto"/>
              </w:rPr>
            </w:pPr>
            <w:r w:rsidRPr="00F31BFB">
              <w:rPr>
                <w:color w:val="auto"/>
              </w:rPr>
              <w:t>1.</w:t>
            </w:r>
          </w:p>
        </w:tc>
        <w:tc>
          <w:tcPr>
            <w:tcW w:w="2592" w:type="dxa"/>
            <w:tcBorders>
              <w:top w:val="single" w:sz="6" w:space="0" w:color="414142"/>
              <w:left w:val="single" w:sz="6" w:space="0" w:color="414142"/>
              <w:bottom w:val="single" w:sz="6" w:space="0" w:color="414142"/>
              <w:right w:val="single" w:sz="6" w:space="0" w:color="414142"/>
            </w:tcBorders>
          </w:tcPr>
          <w:p w14:paraId="4D58D578" w14:textId="77777777" w:rsidR="000C7EFF" w:rsidRPr="00F31BFB" w:rsidRDefault="00E203EE">
            <w:pPr>
              <w:rPr>
                <w:color w:val="auto"/>
              </w:rPr>
            </w:pPr>
            <w:r w:rsidRPr="00F31BFB">
              <w:rPr>
                <w:color w:val="auto"/>
              </w:rPr>
              <w:t>Sabiedrības mērķgrupas, kuras tiesiskais regulējums ietekmē vai varētu ietekmēt</w:t>
            </w:r>
          </w:p>
        </w:tc>
        <w:tc>
          <w:tcPr>
            <w:tcW w:w="6064" w:type="dxa"/>
            <w:tcBorders>
              <w:top w:val="single" w:sz="6" w:space="0" w:color="414142"/>
              <w:left w:val="single" w:sz="6" w:space="0" w:color="414142"/>
              <w:bottom w:val="single" w:sz="6" w:space="0" w:color="414142"/>
              <w:right w:val="single" w:sz="6" w:space="0" w:color="414142"/>
            </w:tcBorders>
          </w:tcPr>
          <w:p w14:paraId="54C6879F" w14:textId="392DEA7B" w:rsidR="000C7EFF" w:rsidRDefault="005C7EBA" w:rsidP="000D508B">
            <w:pPr>
              <w:jc w:val="both"/>
            </w:pPr>
            <w:r>
              <w:t xml:space="preserve">     </w:t>
            </w:r>
            <w:r w:rsidRPr="00EF0E97">
              <w:t xml:space="preserve">Noteikumu projekts attiecas uz Valsts policijas </w:t>
            </w:r>
            <w:r w:rsidR="00894DFB">
              <w:t xml:space="preserve">un pašvaldības policijas </w:t>
            </w:r>
            <w:r w:rsidRPr="00EF0E97">
              <w:t xml:space="preserve">darbiniekiem, kuri nodrošina </w:t>
            </w:r>
            <w:r>
              <w:t xml:space="preserve">reaģēšanu uz </w:t>
            </w:r>
            <w:r w:rsidR="009B00DE">
              <w:t>vardarbības ģimenē gadījumiem</w:t>
            </w:r>
            <w:r w:rsidR="0027478C">
              <w:t>,</w:t>
            </w:r>
            <w:r w:rsidR="00832712">
              <w:t xml:space="preserve"> </w:t>
            </w:r>
            <w:r w:rsidR="0027478C">
              <w:t xml:space="preserve">kā arī </w:t>
            </w:r>
            <w:r>
              <w:t xml:space="preserve">uz konfliktā iesaistītajām personām.  </w:t>
            </w:r>
          </w:p>
          <w:p w14:paraId="4A359671" w14:textId="2218E5D0" w:rsidR="000D508B" w:rsidRPr="00F31BFB" w:rsidRDefault="005C290F" w:rsidP="005C290F">
            <w:pPr>
              <w:ind w:firstLine="364"/>
              <w:jc w:val="both"/>
              <w:rPr>
                <w:color w:val="auto"/>
              </w:rPr>
            </w:pPr>
            <w:r>
              <w:t>Ka</w:t>
            </w:r>
            <w:r w:rsidR="007F14C3">
              <w:t>tru gadu Iekšlietu ministrijas integrētās informācijas sistēmas apakšsistēmā “Vien</w:t>
            </w:r>
            <w:bookmarkStart w:id="1" w:name="_GoBack"/>
            <w:bookmarkEnd w:id="1"/>
            <w:r w:rsidR="007F14C3">
              <w:t>otais notikumu žurnāls” tiek reģistrēti vidēji 8000 notikumi sadaļā “ģimenes konflikts”, no kuriem vidēji 700 gadījumos tiek pieņemt</w:t>
            </w:r>
            <w:r w:rsidR="009B00DE">
              <w:t>s</w:t>
            </w:r>
            <w:r w:rsidR="007F14C3">
              <w:t xml:space="preserve"> policijas lēmum</w:t>
            </w:r>
            <w:r w:rsidR="009B00DE">
              <w:t>s</w:t>
            </w:r>
            <w:r w:rsidR="00E1674D">
              <w:t xml:space="preserve"> </w:t>
            </w:r>
            <w:r w:rsidR="007F14C3">
              <w:t>par nošķiršanu. Tomēr, jānorāda</w:t>
            </w:r>
            <w:r w:rsidR="007F14C3" w:rsidRPr="00B73E24">
              <w:t xml:space="preserve">, ka </w:t>
            </w:r>
            <w:r w:rsidR="006B61F6">
              <w:t xml:space="preserve">sadaļā “ģimenes konflikts” tiek reģistrēti ne tikai notikumi, kas saistīti ar </w:t>
            </w:r>
            <w:r w:rsidR="007F14C3" w:rsidRPr="00B73E24">
              <w:t>vardarbību ģimenē</w:t>
            </w:r>
            <w:r w:rsidR="006B61F6">
              <w:t xml:space="preserve">. Lielu daļu no minētajiem notikumiem sastāda </w:t>
            </w:r>
            <w:r w:rsidR="007F14C3" w:rsidRPr="00B73E24">
              <w:t>sadzīviska rakstura konflikt</w:t>
            </w:r>
            <w:r w:rsidR="006B61F6">
              <w:t>i</w:t>
            </w:r>
            <w:r w:rsidR="007F14C3" w:rsidRPr="00B73E24">
              <w:t xml:space="preserve">, </w:t>
            </w:r>
            <w:r w:rsidR="00840B22" w:rsidRPr="00B73E24">
              <w:t>kur vardarbība nav pielietota,</w:t>
            </w:r>
            <w:r w:rsidR="006B61F6">
              <w:t xml:space="preserve"> un</w:t>
            </w:r>
            <w:r w:rsidR="00E1674D">
              <w:t xml:space="preserve"> </w:t>
            </w:r>
            <w:r w:rsidR="007F14C3" w:rsidRPr="00B73E24">
              <w:t xml:space="preserve">citi tamlīdzīgi gadījumi. </w:t>
            </w:r>
            <w:r w:rsidR="007F14C3">
              <w:t>Ņemot vērā minēto, prognozējams, ka pašvaldību sociālajiem dienestiem tiks nosūtīti provizoriski ap 2000 Ziņojumiem gadā.</w:t>
            </w:r>
          </w:p>
        </w:tc>
      </w:tr>
      <w:tr w:rsidR="00DF1B2F" w:rsidRPr="00F31BFB" w14:paraId="5BA1FF07" w14:textId="77777777" w:rsidTr="00795371">
        <w:trPr>
          <w:trHeight w:val="500"/>
        </w:trPr>
        <w:tc>
          <w:tcPr>
            <w:tcW w:w="520" w:type="dxa"/>
            <w:tcBorders>
              <w:top w:val="single" w:sz="6" w:space="0" w:color="414142"/>
              <w:left w:val="single" w:sz="6" w:space="0" w:color="414142"/>
              <w:bottom w:val="single" w:sz="6" w:space="0" w:color="414142"/>
              <w:right w:val="single" w:sz="6" w:space="0" w:color="414142"/>
            </w:tcBorders>
          </w:tcPr>
          <w:p w14:paraId="1E256EA4" w14:textId="77777777" w:rsidR="000C7EFF" w:rsidRPr="00F31BFB" w:rsidRDefault="00E203EE">
            <w:pPr>
              <w:rPr>
                <w:color w:val="auto"/>
              </w:rPr>
            </w:pPr>
            <w:r w:rsidRPr="00F31BFB">
              <w:rPr>
                <w:color w:val="auto"/>
              </w:rPr>
              <w:t>2.</w:t>
            </w:r>
          </w:p>
        </w:tc>
        <w:tc>
          <w:tcPr>
            <w:tcW w:w="2592" w:type="dxa"/>
            <w:tcBorders>
              <w:top w:val="single" w:sz="6" w:space="0" w:color="414142"/>
              <w:left w:val="single" w:sz="6" w:space="0" w:color="414142"/>
              <w:bottom w:val="single" w:sz="6" w:space="0" w:color="414142"/>
              <w:right w:val="single" w:sz="6" w:space="0" w:color="414142"/>
            </w:tcBorders>
          </w:tcPr>
          <w:p w14:paraId="1D124D64" w14:textId="77777777" w:rsidR="000C7EFF" w:rsidRPr="00F31BFB" w:rsidRDefault="00E203EE">
            <w:pPr>
              <w:rPr>
                <w:color w:val="auto"/>
              </w:rPr>
            </w:pPr>
            <w:r w:rsidRPr="00F31BFB">
              <w:rPr>
                <w:color w:val="auto"/>
              </w:rPr>
              <w:t>Tiesiskā regulējuma ietekme uz tautsaimniecību un administratīvo slogu</w:t>
            </w:r>
          </w:p>
        </w:tc>
        <w:tc>
          <w:tcPr>
            <w:tcW w:w="6064" w:type="dxa"/>
            <w:tcBorders>
              <w:top w:val="single" w:sz="6" w:space="0" w:color="414142"/>
              <w:left w:val="single" w:sz="6" w:space="0" w:color="414142"/>
              <w:bottom w:val="single" w:sz="6" w:space="0" w:color="414142"/>
              <w:right w:val="single" w:sz="6" w:space="0" w:color="414142"/>
            </w:tcBorders>
          </w:tcPr>
          <w:p w14:paraId="622FB790" w14:textId="0FC54CA4" w:rsidR="000C7EFF" w:rsidRPr="00F31BFB" w:rsidRDefault="001121D0" w:rsidP="0027478C">
            <w:pPr>
              <w:spacing w:after="120"/>
              <w:jc w:val="both"/>
              <w:rPr>
                <w:color w:val="auto"/>
              </w:rPr>
            </w:pPr>
            <w:r>
              <w:t xml:space="preserve">     </w:t>
            </w:r>
            <w:r w:rsidR="005C7EBA" w:rsidRPr="004A4D9E">
              <w:t>Projekts paredz Valsts policijas</w:t>
            </w:r>
            <w:r w:rsidR="005C7EBA">
              <w:t xml:space="preserve"> un pašvaldības policijas darbiniekiem papildu pienākumu notikuma vietā aizpildīt </w:t>
            </w:r>
            <w:r w:rsidR="00557B38">
              <w:t>Ziņojumu</w:t>
            </w:r>
            <w:r w:rsidR="005C7EBA">
              <w:t xml:space="preserve">. Ņemot vērā, ka jau šobrīd pēc izsaukuma uz </w:t>
            </w:r>
            <w:r w:rsidR="000B0E58">
              <w:t>vardarbības ģimenē gadījumiem</w:t>
            </w:r>
            <w:r w:rsidR="005C7EBA">
              <w:t xml:space="preserve"> policijas darbinieki sastāda </w:t>
            </w:r>
            <w:r w:rsidR="000B0E58">
              <w:t xml:space="preserve">dienesta </w:t>
            </w:r>
            <w:r w:rsidR="005C7EBA">
              <w:t xml:space="preserve">ziņojumu, </w:t>
            </w:r>
            <w:r w:rsidR="005C7EBA" w:rsidRPr="004A4D9E">
              <w:t xml:space="preserve">paredzams, ka šo uzdevumu būs iespējams nodrošināt esošo Valsts policijas </w:t>
            </w:r>
            <w:r w:rsidR="005C7EBA">
              <w:t>un pašvaldības policijas cilvēkresursu ietvaros. Papildu</w:t>
            </w:r>
            <w:r w:rsidR="005C7EBA" w:rsidRPr="004A4D9E">
              <w:t xml:space="preserve"> resursi nebūs nepieciešami</w:t>
            </w:r>
            <w:r w:rsidR="00840B22" w:rsidRPr="004A4D9E">
              <w:t>, un</w:t>
            </w:r>
            <w:r w:rsidR="005C7EBA" w:rsidRPr="004A4D9E">
              <w:t xml:space="preserve"> minētais </w:t>
            </w:r>
            <w:r w:rsidR="000B0E58">
              <w:t>regulējums</w:t>
            </w:r>
            <w:r w:rsidR="005C7EBA">
              <w:t xml:space="preserve"> nepalielinās </w:t>
            </w:r>
            <w:r w:rsidR="000B0E58">
              <w:t xml:space="preserve">darbinieku </w:t>
            </w:r>
            <w:r w:rsidR="005C7EBA" w:rsidRPr="004A4D9E">
              <w:t>noslodzi</w:t>
            </w:r>
            <w:r w:rsidR="00F045B9">
              <w:rPr>
                <w:color w:val="auto"/>
              </w:rPr>
              <w:t>.</w:t>
            </w:r>
          </w:p>
        </w:tc>
      </w:tr>
      <w:tr w:rsidR="00DF1B2F" w:rsidRPr="00F31BFB" w14:paraId="042AE029" w14:textId="77777777" w:rsidTr="00795371">
        <w:trPr>
          <w:trHeight w:val="500"/>
        </w:trPr>
        <w:tc>
          <w:tcPr>
            <w:tcW w:w="520" w:type="dxa"/>
            <w:tcBorders>
              <w:top w:val="single" w:sz="6" w:space="0" w:color="414142"/>
              <w:left w:val="single" w:sz="6" w:space="0" w:color="414142"/>
              <w:bottom w:val="single" w:sz="6" w:space="0" w:color="414142"/>
              <w:right w:val="single" w:sz="6" w:space="0" w:color="414142"/>
            </w:tcBorders>
          </w:tcPr>
          <w:p w14:paraId="70C1A913" w14:textId="77777777" w:rsidR="000C7EFF" w:rsidRPr="00F31BFB" w:rsidRDefault="00E203EE">
            <w:pPr>
              <w:rPr>
                <w:color w:val="auto"/>
              </w:rPr>
            </w:pPr>
            <w:r w:rsidRPr="00F31BFB">
              <w:rPr>
                <w:color w:val="auto"/>
              </w:rPr>
              <w:t>3.</w:t>
            </w:r>
          </w:p>
        </w:tc>
        <w:tc>
          <w:tcPr>
            <w:tcW w:w="2592" w:type="dxa"/>
            <w:tcBorders>
              <w:top w:val="single" w:sz="6" w:space="0" w:color="414142"/>
              <w:left w:val="single" w:sz="6" w:space="0" w:color="414142"/>
              <w:bottom w:val="single" w:sz="6" w:space="0" w:color="414142"/>
              <w:right w:val="single" w:sz="6" w:space="0" w:color="414142"/>
            </w:tcBorders>
          </w:tcPr>
          <w:p w14:paraId="50802F91" w14:textId="77777777" w:rsidR="000C7EFF" w:rsidRPr="00F31BFB" w:rsidRDefault="00E203EE">
            <w:pPr>
              <w:rPr>
                <w:color w:val="auto"/>
              </w:rPr>
            </w:pPr>
            <w:r w:rsidRPr="00F31BFB">
              <w:rPr>
                <w:color w:val="auto"/>
              </w:rPr>
              <w:t>Administratīvo izmaksu monetārs novērtējums</w:t>
            </w:r>
          </w:p>
        </w:tc>
        <w:tc>
          <w:tcPr>
            <w:tcW w:w="6064" w:type="dxa"/>
            <w:tcBorders>
              <w:top w:val="single" w:sz="6" w:space="0" w:color="414142"/>
              <w:left w:val="single" w:sz="6" w:space="0" w:color="414142"/>
              <w:bottom w:val="single" w:sz="6" w:space="0" w:color="414142"/>
              <w:right w:val="single" w:sz="6" w:space="0" w:color="414142"/>
            </w:tcBorders>
          </w:tcPr>
          <w:p w14:paraId="60ADBCA5" w14:textId="77777777" w:rsidR="000C7EFF" w:rsidRPr="00F31BFB" w:rsidRDefault="00716565" w:rsidP="00526DD3">
            <w:pPr>
              <w:pStyle w:val="Standard"/>
              <w:spacing w:after="0" w:line="240" w:lineRule="auto"/>
              <w:ind w:left="57" w:right="57"/>
              <w:jc w:val="both"/>
              <w:rPr>
                <w:b/>
                <w:sz w:val="24"/>
                <w:szCs w:val="24"/>
              </w:rPr>
            </w:pPr>
            <w:r>
              <w:rPr>
                <w:sz w:val="24"/>
                <w:szCs w:val="24"/>
              </w:rPr>
              <w:t>P</w:t>
            </w:r>
            <w:r w:rsidR="00526DD3" w:rsidRPr="00F31BFB">
              <w:rPr>
                <w:sz w:val="24"/>
                <w:szCs w:val="24"/>
              </w:rPr>
              <w:t>rojekts šo jomu neskar.</w:t>
            </w:r>
          </w:p>
        </w:tc>
      </w:tr>
      <w:tr w:rsidR="00DF1B2F" w:rsidRPr="00F31BFB" w14:paraId="05886D92" w14:textId="77777777" w:rsidTr="00795371">
        <w:trPr>
          <w:trHeight w:val="500"/>
        </w:trPr>
        <w:tc>
          <w:tcPr>
            <w:tcW w:w="520" w:type="dxa"/>
            <w:tcBorders>
              <w:top w:val="single" w:sz="6" w:space="0" w:color="414142"/>
              <w:left w:val="single" w:sz="6" w:space="0" w:color="414142"/>
              <w:bottom w:val="single" w:sz="6" w:space="0" w:color="414142"/>
              <w:right w:val="single" w:sz="6" w:space="0" w:color="414142"/>
            </w:tcBorders>
          </w:tcPr>
          <w:p w14:paraId="7BE62CAE" w14:textId="77777777" w:rsidR="000C7EFF" w:rsidRPr="00F31BFB" w:rsidRDefault="00E203EE">
            <w:pPr>
              <w:rPr>
                <w:color w:val="auto"/>
              </w:rPr>
            </w:pPr>
            <w:r w:rsidRPr="00F31BFB">
              <w:rPr>
                <w:color w:val="auto"/>
              </w:rPr>
              <w:lastRenderedPageBreak/>
              <w:t>4.</w:t>
            </w:r>
          </w:p>
        </w:tc>
        <w:tc>
          <w:tcPr>
            <w:tcW w:w="2592" w:type="dxa"/>
            <w:tcBorders>
              <w:top w:val="single" w:sz="6" w:space="0" w:color="414142"/>
              <w:left w:val="single" w:sz="6" w:space="0" w:color="414142"/>
              <w:bottom w:val="single" w:sz="6" w:space="0" w:color="414142"/>
              <w:right w:val="single" w:sz="6" w:space="0" w:color="414142"/>
            </w:tcBorders>
          </w:tcPr>
          <w:p w14:paraId="484CFA5C" w14:textId="77777777" w:rsidR="000C7EFF" w:rsidRPr="00F31BFB" w:rsidRDefault="00E203EE">
            <w:pPr>
              <w:rPr>
                <w:color w:val="auto"/>
              </w:rPr>
            </w:pPr>
            <w:r w:rsidRPr="00F31BFB">
              <w:rPr>
                <w:color w:val="auto"/>
              </w:rPr>
              <w:t>Atbilstības izmaksu monetārs novērtējums</w:t>
            </w:r>
          </w:p>
        </w:tc>
        <w:tc>
          <w:tcPr>
            <w:tcW w:w="6064" w:type="dxa"/>
            <w:tcBorders>
              <w:top w:val="single" w:sz="6" w:space="0" w:color="414142"/>
              <w:left w:val="single" w:sz="6" w:space="0" w:color="414142"/>
              <w:bottom w:val="single" w:sz="6" w:space="0" w:color="414142"/>
              <w:right w:val="single" w:sz="6" w:space="0" w:color="414142"/>
            </w:tcBorders>
          </w:tcPr>
          <w:p w14:paraId="4C2D6BAB" w14:textId="77777777" w:rsidR="000C7EFF" w:rsidRPr="00F31BFB" w:rsidRDefault="00716565">
            <w:pPr>
              <w:rPr>
                <w:color w:val="auto"/>
              </w:rPr>
            </w:pPr>
            <w:r>
              <w:rPr>
                <w:color w:val="auto"/>
              </w:rPr>
              <w:t>P</w:t>
            </w:r>
            <w:r w:rsidR="00F045B9" w:rsidRPr="00F31BFB">
              <w:rPr>
                <w:color w:val="auto"/>
              </w:rPr>
              <w:t>rojekts</w:t>
            </w:r>
            <w:r w:rsidR="00E203EE" w:rsidRPr="00F31BFB">
              <w:rPr>
                <w:color w:val="auto"/>
              </w:rPr>
              <w:t xml:space="preserve"> šo jomu neskar.</w:t>
            </w:r>
          </w:p>
        </w:tc>
      </w:tr>
      <w:tr w:rsidR="00DF1B2F" w:rsidRPr="00F31BFB" w14:paraId="48F74415" w14:textId="77777777" w:rsidTr="00795371">
        <w:trPr>
          <w:trHeight w:val="340"/>
        </w:trPr>
        <w:tc>
          <w:tcPr>
            <w:tcW w:w="520" w:type="dxa"/>
            <w:tcBorders>
              <w:top w:val="single" w:sz="6" w:space="0" w:color="414142"/>
              <w:left w:val="single" w:sz="6" w:space="0" w:color="414142"/>
              <w:bottom w:val="single" w:sz="6" w:space="0" w:color="414142"/>
              <w:right w:val="single" w:sz="6" w:space="0" w:color="414142"/>
            </w:tcBorders>
          </w:tcPr>
          <w:p w14:paraId="5DE02379" w14:textId="77777777" w:rsidR="000C7EFF" w:rsidRPr="00F31BFB" w:rsidRDefault="00E203EE">
            <w:pPr>
              <w:rPr>
                <w:color w:val="auto"/>
              </w:rPr>
            </w:pPr>
            <w:r w:rsidRPr="00F31BFB">
              <w:rPr>
                <w:color w:val="auto"/>
              </w:rPr>
              <w:t>5.</w:t>
            </w:r>
          </w:p>
        </w:tc>
        <w:tc>
          <w:tcPr>
            <w:tcW w:w="2592" w:type="dxa"/>
            <w:tcBorders>
              <w:top w:val="single" w:sz="6" w:space="0" w:color="414142"/>
              <w:left w:val="single" w:sz="6" w:space="0" w:color="414142"/>
              <w:bottom w:val="single" w:sz="6" w:space="0" w:color="414142"/>
              <w:right w:val="single" w:sz="6" w:space="0" w:color="414142"/>
            </w:tcBorders>
          </w:tcPr>
          <w:p w14:paraId="7ABDC3F4" w14:textId="77777777" w:rsidR="000C7EFF" w:rsidRPr="00F31BFB" w:rsidRDefault="00E203EE">
            <w:pPr>
              <w:rPr>
                <w:color w:val="auto"/>
              </w:rPr>
            </w:pPr>
            <w:r w:rsidRPr="00F31BFB">
              <w:rPr>
                <w:color w:val="auto"/>
              </w:rPr>
              <w:t>Cita informācija</w:t>
            </w:r>
          </w:p>
        </w:tc>
        <w:tc>
          <w:tcPr>
            <w:tcW w:w="6064" w:type="dxa"/>
            <w:tcBorders>
              <w:top w:val="single" w:sz="6" w:space="0" w:color="414142"/>
              <w:left w:val="single" w:sz="6" w:space="0" w:color="414142"/>
              <w:bottom w:val="single" w:sz="6" w:space="0" w:color="414142"/>
              <w:right w:val="single" w:sz="6" w:space="0" w:color="414142"/>
            </w:tcBorders>
          </w:tcPr>
          <w:p w14:paraId="5D13502A" w14:textId="77777777" w:rsidR="000C7EFF" w:rsidRPr="00F31BFB" w:rsidRDefault="00E203EE">
            <w:pPr>
              <w:rPr>
                <w:color w:val="auto"/>
              </w:rPr>
            </w:pPr>
            <w:r w:rsidRPr="00F31BFB">
              <w:rPr>
                <w:color w:val="auto"/>
              </w:rPr>
              <w:t>Nav</w:t>
            </w:r>
          </w:p>
        </w:tc>
      </w:tr>
    </w:tbl>
    <w:p w14:paraId="50FBB7E3" w14:textId="77777777" w:rsidR="00514A64" w:rsidRPr="00F31BFB" w:rsidRDefault="00E203EE" w:rsidP="00E46100">
      <w:pPr>
        <w:shd w:val="clear" w:color="auto" w:fill="FFFFFF"/>
        <w:ind w:firstLine="300"/>
        <w:rPr>
          <w:rFonts w:eastAsia="Arial"/>
          <w:color w:val="auto"/>
        </w:rPr>
      </w:pPr>
      <w:r w:rsidRPr="00F31BFB">
        <w:rPr>
          <w:rFonts w:eastAsia="Arial"/>
          <w:color w:val="auto"/>
        </w:rPr>
        <w:t> </w:t>
      </w:r>
      <w:r w:rsidR="00F045B9">
        <w:rPr>
          <w:rFonts w:eastAsia="Arial"/>
          <w:color w:val="auto"/>
        </w:rPr>
        <w:t xml:space="preserve"> </w:t>
      </w:r>
    </w:p>
    <w:p w14:paraId="63CA6CA2" w14:textId="77777777" w:rsidR="00F24776" w:rsidRPr="00F31BFB" w:rsidRDefault="00E203EE" w:rsidP="00F24776">
      <w:pPr>
        <w:rPr>
          <w:color w:val="auto"/>
        </w:rPr>
      </w:pPr>
      <w:r w:rsidRPr="00F31BFB">
        <w:rPr>
          <w:color w:val="auto"/>
        </w:rPr>
        <w:t> </w:t>
      </w:r>
    </w:p>
    <w:tbl>
      <w:tblPr>
        <w:tblStyle w:val="TableGrid"/>
        <w:tblW w:w="5084" w:type="pct"/>
        <w:tblInd w:w="-147" w:type="dxa"/>
        <w:tblLook w:val="04A0" w:firstRow="1" w:lastRow="0" w:firstColumn="1" w:lastColumn="0" w:noHBand="0" w:noVBand="1"/>
      </w:tblPr>
      <w:tblGrid>
        <w:gridCol w:w="9213"/>
      </w:tblGrid>
      <w:tr w:rsidR="00DF1B2F" w:rsidRPr="00F31BFB" w14:paraId="5DCBF8E8" w14:textId="77777777" w:rsidTr="00795371">
        <w:trPr>
          <w:trHeight w:val="360"/>
        </w:trPr>
        <w:tc>
          <w:tcPr>
            <w:tcW w:w="5000" w:type="pct"/>
            <w:vAlign w:val="center"/>
            <w:hideMark/>
          </w:tcPr>
          <w:p w14:paraId="67B675A4" w14:textId="77777777" w:rsidR="00F24776" w:rsidRPr="00F31BFB" w:rsidRDefault="00F24776" w:rsidP="009B00DE">
            <w:pPr>
              <w:spacing w:before="100" w:beforeAutospacing="1" w:after="100" w:afterAutospacing="1" w:line="360" w:lineRule="auto"/>
              <w:ind w:firstLine="300"/>
              <w:jc w:val="center"/>
              <w:rPr>
                <w:b/>
                <w:bCs/>
                <w:color w:val="auto"/>
              </w:rPr>
            </w:pPr>
            <w:r w:rsidRPr="00F31BFB">
              <w:rPr>
                <w:b/>
                <w:bCs/>
                <w:color w:val="auto"/>
              </w:rPr>
              <w:t>III. Tiesību akta projekta ietekme uz valsts budžetu un pašvaldību budžetiem</w:t>
            </w:r>
          </w:p>
        </w:tc>
      </w:tr>
      <w:tr w:rsidR="00DF1B2F" w:rsidRPr="00F31BFB" w14:paraId="514EA694" w14:textId="77777777" w:rsidTr="00795371">
        <w:tc>
          <w:tcPr>
            <w:tcW w:w="5000" w:type="pct"/>
            <w:vAlign w:val="center"/>
          </w:tcPr>
          <w:p w14:paraId="7518BE6F" w14:textId="20CE7445" w:rsidR="00F24776" w:rsidRPr="00F31BFB" w:rsidRDefault="00716565" w:rsidP="009B00DE">
            <w:pPr>
              <w:spacing w:before="100" w:beforeAutospacing="1" w:after="100" w:afterAutospacing="1" w:line="360" w:lineRule="auto"/>
              <w:ind w:firstLine="300"/>
              <w:jc w:val="center"/>
              <w:rPr>
                <w:color w:val="auto"/>
              </w:rPr>
            </w:pPr>
            <w:r w:rsidRPr="00ED6D2F">
              <w:rPr>
                <w:color w:val="auto"/>
              </w:rPr>
              <w:t>P</w:t>
            </w:r>
            <w:r w:rsidR="00ED6D2F">
              <w:rPr>
                <w:color w:val="auto"/>
              </w:rPr>
              <w:t xml:space="preserve">rojekts </w:t>
            </w:r>
            <w:r w:rsidR="000B0E58">
              <w:rPr>
                <w:color w:val="auto"/>
              </w:rPr>
              <w:t>šo jomu neskar</w:t>
            </w:r>
          </w:p>
        </w:tc>
      </w:tr>
    </w:tbl>
    <w:p w14:paraId="51595827" w14:textId="77777777" w:rsidR="000C7EFF" w:rsidRPr="00F31BFB" w:rsidRDefault="000C7EFF">
      <w:pPr>
        <w:shd w:val="clear" w:color="auto" w:fill="FFFFFF"/>
        <w:ind w:firstLine="300"/>
        <w:rPr>
          <w:color w:val="auto"/>
        </w:rPr>
      </w:pPr>
    </w:p>
    <w:tbl>
      <w:tblPr>
        <w:tblStyle w:val="a3"/>
        <w:tblW w:w="9209" w:type="dxa"/>
        <w:jc w:val="center"/>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9209"/>
      </w:tblGrid>
      <w:tr w:rsidR="00DF1B2F" w:rsidRPr="00F31BFB" w14:paraId="342B42DB" w14:textId="77777777" w:rsidTr="00E1674D">
        <w:trPr>
          <w:trHeight w:val="180"/>
          <w:jc w:val="center"/>
        </w:trPr>
        <w:tc>
          <w:tcPr>
            <w:tcW w:w="9209" w:type="dxa"/>
            <w:tcBorders>
              <w:top w:val="single" w:sz="6" w:space="0" w:color="414142"/>
              <w:left w:val="single" w:sz="6" w:space="0" w:color="414142"/>
              <w:bottom w:val="single" w:sz="6" w:space="0" w:color="414142"/>
              <w:right w:val="single" w:sz="6" w:space="0" w:color="414142"/>
            </w:tcBorders>
            <w:vAlign w:val="center"/>
          </w:tcPr>
          <w:p w14:paraId="6B97A895" w14:textId="77777777" w:rsidR="000C7EFF" w:rsidRPr="00F31BFB" w:rsidRDefault="00E203EE">
            <w:pPr>
              <w:jc w:val="center"/>
              <w:rPr>
                <w:b/>
                <w:color w:val="auto"/>
              </w:rPr>
            </w:pPr>
            <w:r w:rsidRPr="00F31BFB">
              <w:rPr>
                <w:b/>
                <w:color w:val="auto"/>
              </w:rPr>
              <w:t>IV. Tiesību akta projekta ietekme uz spēkā esošo tiesību normu sistēmu</w:t>
            </w:r>
          </w:p>
        </w:tc>
      </w:tr>
      <w:tr w:rsidR="000B0E58" w:rsidRPr="00F31BFB" w14:paraId="76275B4B" w14:textId="77777777" w:rsidTr="00E1674D">
        <w:trPr>
          <w:trHeight w:val="180"/>
          <w:jc w:val="center"/>
        </w:trPr>
        <w:tc>
          <w:tcPr>
            <w:tcW w:w="9209" w:type="dxa"/>
            <w:tcBorders>
              <w:top w:val="single" w:sz="6" w:space="0" w:color="414142"/>
              <w:left w:val="single" w:sz="6" w:space="0" w:color="414142"/>
              <w:bottom w:val="single" w:sz="6" w:space="0" w:color="414142"/>
              <w:right w:val="single" w:sz="6" w:space="0" w:color="414142"/>
            </w:tcBorders>
            <w:vAlign w:val="center"/>
          </w:tcPr>
          <w:p w14:paraId="39AE7E12" w14:textId="40A01119" w:rsidR="000B0E58" w:rsidRPr="00E1674D" w:rsidRDefault="000B0E58">
            <w:pPr>
              <w:jc w:val="center"/>
              <w:rPr>
                <w:color w:val="auto"/>
              </w:rPr>
            </w:pPr>
            <w:r w:rsidRPr="00E1674D">
              <w:rPr>
                <w:color w:val="auto"/>
              </w:rPr>
              <w:t>Projekts šo jomu neskar</w:t>
            </w:r>
          </w:p>
        </w:tc>
      </w:tr>
    </w:tbl>
    <w:p w14:paraId="5F9EC329" w14:textId="77777777" w:rsidR="000C7EFF" w:rsidRPr="00F31BFB" w:rsidRDefault="00E203EE">
      <w:pPr>
        <w:shd w:val="clear" w:color="auto" w:fill="FFFFFF"/>
        <w:ind w:firstLine="300"/>
        <w:rPr>
          <w:color w:val="auto"/>
        </w:rPr>
      </w:pPr>
      <w:r w:rsidRPr="00F31BFB">
        <w:rPr>
          <w:rFonts w:eastAsia="Arial"/>
          <w:color w:val="auto"/>
        </w:rPr>
        <w:t> </w:t>
      </w:r>
    </w:p>
    <w:tbl>
      <w:tblPr>
        <w:tblStyle w:val="a4"/>
        <w:tblW w:w="9176" w:type="dxa"/>
        <w:tblInd w:w="-112"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9176"/>
      </w:tblGrid>
      <w:tr w:rsidR="00DF1B2F" w:rsidRPr="00F31BFB" w14:paraId="0AEB2D41" w14:textId="77777777" w:rsidTr="00795371">
        <w:tc>
          <w:tcPr>
            <w:tcW w:w="9176" w:type="dxa"/>
            <w:tcBorders>
              <w:top w:val="single" w:sz="6" w:space="0" w:color="414142"/>
              <w:left w:val="single" w:sz="6" w:space="0" w:color="414142"/>
              <w:bottom w:val="single" w:sz="6" w:space="0" w:color="414142"/>
              <w:right w:val="single" w:sz="6" w:space="0" w:color="414142"/>
            </w:tcBorders>
            <w:vAlign w:val="center"/>
          </w:tcPr>
          <w:p w14:paraId="68B1DFFF" w14:textId="77777777" w:rsidR="000C7EFF" w:rsidRPr="00F31BFB" w:rsidRDefault="00E203EE">
            <w:pPr>
              <w:jc w:val="center"/>
              <w:rPr>
                <w:b/>
                <w:color w:val="auto"/>
              </w:rPr>
            </w:pPr>
            <w:r w:rsidRPr="00F31BFB">
              <w:rPr>
                <w:b/>
                <w:color w:val="auto"/>
              </w:rPr>
              <w:t>V. Tiesību akta projekta atbilstība Latvijas Republikas starptautiskajām saistībām</w:t>
            </w:r>
          </w:p>
        </w:tc>
      </w:tr>
      <w:tr w:rsidR="000B0E58" w:rsidRPr="00F31BFB" w14:paraId="06A8CE71" w14:textId="77777777" w:rsidTr="00795371">
        <w:tc>
          <w:tcPr>
            <w:tcW w:w="9176" w:type="dxa"/>
            <w:tcBorders>
              <w:top w:val="single" w:sz="6" w:space="0" w:color="414142"/>
              <w:left w:val="single" w:sz="6" w:space="0" w:color="414142"/>
              <w:bottom w:val="single" w:sz="6" w:space="0" w:color="414142"/>
              <w:right w:val="single" w:sz="6" w:space="0" w:color="414142"/>
            </w:tcBorders>
            <w:vAlign w:val="center"/>
          </w:tcPr>
          <w:p w14:paraId="4E5DFC67" w14:textId="690C13A4" w:rsidR="000B0E58" w:rsidRPr="00E1674D" w:rsidRDefault="000B0E58">
            <w:pPr>
              <w:jc w:val="center"/>
              <w:rPr>
                <w:color w:val="auto"/>
              </w:rPr>
            </w:pPr>
            <w:r w:rsidRPr="00E1674D">
              <w:rPr>
                <w:color w:val="auto"/>
              </w:rPr>
              <w:t>Projekts šo jomu neskar</w:t>
            </w:r>
          </w:p>
        </w:tc>
      </w:tr>
    </w:tbl>
    <w:p w14:paraId="50ACEE5C" w14:textId="5BE73E43" w:rsidR="000C7EFF" w:rsidRPr="00F31BFB" w:rsidRDefault="000C7EFF">
      <w:pPr>
        <w:shd w:val="clear" w:color="auto" w:fill="FFFFFF"/>
        <w:ind w:firstLine="300"/>
        <w:rPr>
          <w:color w:val="auto"/>
        </w:rPr>
      </w:pPr>
    </w:p>
    <w:tbl>
      <w:tblPr>
        <w:tblStyle w:val="a6"/>
        <w:tblW w:w="9064" w:type="dxa"/>
        <w:jc w:val="center"/>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521"/>
        <w:gridCol w:w="2511"/>
        <w:gridCol w:w="6032"/>
      </w:tblGrid>
      <w:tr w:rsidR="00DF1B2F" w:rsidRPr="00F31BFB" w14:paraId="401D8129" w14:textId="77777777" w:rsidTr="00795371">
        <w:trPr>
          <w:trHeight w:val="420"/>
          <w:jc w:val="center"/>
        </w:trPr>
        <w:tc>
          <w:tcPr>
            <w:tcW w:w="9064" w:type="dxa"/>
            <w:gridSpan w:val="3"/>
            <w:tcBorders>
              <w:top w:val="single" w:sz="6" w:space="0" w:color="414142"/>
              <w:left w:val="single" w:sz="6" w:space="0" w:color="414142"/>
              <w:bottom w:val="single" w:sz="6" w:space="0" w:color="414142"/>
              <w:right w:val="single" w:sz="6" w:space="0" w:color="414142"/>
            </w:tcBorders>
            <w:vAlign w:val="center"/>
          </w:tcPr>
          <w:p w14:paraId="6210F896" w14:textId="77777777" w:rsidR="000C7EFF" w:rsidRPr="00F31BFB" w:rsidRDefault="00E203EE">
            <w:pPr>
              <w:jc w:val="center"/>
              <w:rPr>
                <w:b/>
                <w:color w:val="auto"/>
              </w:rPr>
            </w:pPr>
            <w:r w:rsidRPr="00F31BFB">
              <w:rPr>
                <w:b/>
                <w:color w:val="auto"/>
              </w:rPr>
              <w:t>VI. Sabiedrības līdzdalība un komunikācijas aktivitātes</w:t>
            </w:r>
          </w:p>
        </w:tc>
      </w:tr>
      <w:tr w:rsidR="00DF1B2F" w:rsidRPr="00F31BFB" w14:paraId="2EB9D3AD" w14:textId="77777777" w:rsidTr="00795371">
        <w:trPr>
          <w:trHeight w:val="540"/>
          <w:jc w:val="center"/>
        </w:trPr>
        <w:tc>
          <w:tcPr>
            <w:tcW w:w="521" w:type="dxa"/>
            <w:tcBorders>
              <w:top w:val="single" w:sz="6" w:space="0" w:color="414142"/>
              <w:left w:val="single" w:sz="6" w:space="0" w:color="414142"/>
              <w:bottom w:val="single" w:sz="6" w:space="0" w:color="414142"/>
              <w:right w:val="single" w:sz="6" w:space="0" w:color="414142"/>
            </w:tcBorders>
          </w:tcPr>
          <w:p w14:paraId="46F0E699" w14:textId="77777777" w:rsidR="000C7EFF" w:rsidRPr="00F31BFB" w:rsidRDefault="00E203EE">
            <w:pPr>
              <w:rPr>
                <w:color w:val="auto"/>
              </w:rPr>
            </w:pPr>
            <w:r w:rsidRPr="00F31BFB">
              <w:rPr>
                <w:color w:val="auto"/>
              </w:rPr>
              <w:t>1.</w:t>
            </w:r>
          </w:p>
        </w:tc>
        <w:tc>
          <w:tcPr>
            <w:tcW w:w="2511" w:type="dxa"/>
            <w:tcBorders>
              <w:top w:val="single" w:sz="6" w:space="0" w:color="414142"/>
              <w:left w:val="single" w:sz="6" w:space="0" w:color="414142"/>
              <w:bottom w:val="single" w:sz="6" w:space="0" w:color="414142"/>
              <w:right w:val="single" w:sz="6" w:space="0" w:color="414142"/>
            </w:tcBorders>
          </w:tcPr>
          <w:p w14:paraId="22CB5A38" w14:textId="77777777" w:rsidR="000C7EFF" w:rsidRPr="00F31BFB" w:rsidRDefault="00E203EE">
            <w:pPr>
              <w:rPr>
                <w:color w:val="auto"/>
              </w:rPr>
            </w:pPr>
            <w:r w:rsidRPr="00F31BFB">
              <w:rPr>
                <w:color w:val="auto"/>
              </w:rPr>
              <w:t>Plānotās sabiedrības līdzdalības un komunikācijas aktivitātes saistībā ar projektu</w:t>
            </w:r>
          </w:p>
        </w:tc>
        <w:tc>
          <w:tcPr>
            <w:tcW w:w="6032" w:type="dxa"/>
            <w:tcBorders>
              <w:top w:val="single" w:sz="6" w:space="0" w:color="414142"/>
              <w:left w:val="single" w:sz="6" w:space="0" w:color="414142"/>
              <w:bottom w:val="single" w:sz="6" w:space="0" w:color="414142"/>
              <w:right w:val="single" w:sz="6" w:space="0" w:color="414142"/>
            </w:tcBorders>
          </w:tcPr>
          <w:p w14:paraId="6E50D9A0" w14:textId="409C7B24" w:rsidR="000C7EFF" w:rsidRPr="000B0EA2" w:rsidRDefault="007E0406" w:rsidP="00E1674D">
            <w:pPr>
              <w:ind w:right="102"/>
              <w:jc w:val="both"/>
              <w:rPr>
                <w:color w:val="000000" w:themeColor="text1"/>
              </w:rPr>
            </w:pPr>
            <w:r w:rsidRPr="00F81219">
              <w:t xml:space="preserve">Atbilstoši Ministru kabineta 2009. gada 25. augusta noteikumiem Nr. 970 "Sabiedrības līdzdalības kārtība attīstības plānošanas procesā", lai informētu sabiedrību par </w:t>
            </w:r>
            <w:r w:rsidRPr="00E1674D">
              <w:t>projektu</w:t>
            </w:r>
            <w:r w:rsidRPr="00F81219">
              <w:t xml:space="preserve"> un dotu iespēju izteikt viedokli, informācija par </w:t>
            </w:r>
            <w:r w:rsidRPr="00E1674D">
              <w:t xml:space="preserve">projektu </w:t>
            </w:r>
            <w:r w:rsidRPr="00F81219">
              <w:t xml:space="preserve">ievietota </w:t>
            </w:r>
            <w:r>
              <w:t>Iekšlietu</w:t>
            </w:r>
            <w:r w:rsidRPr="00F81219">
              <w:t xml:space="preserve"> ministrija</w:t>
            </w:r>
            <w:r>
              <w:t>s un Valsts kancelejas tīmekļa vietnē</w:t>
            </w:r>
            <w:r w:rsidRPr="00F81219">
              <w:t>.</w:t>
            </w:r>
          </w:p>
        </w:tc>
      </w:tr>
      <w:tr w:rsidR="00DF1B2F" w:rsidRPr="00F31BFB" w14:paraId="00AE79E2" w14:textId="77777777" w:rsidTr="00795371">
        <w:trPr>
          <w:trHeight w:val="320"/>
          <w:jc w:val="center"/>
        </w:trPr>
        <w:tc>
          <w:tcPr>
            <w:tcW w:w="521" w:type="dxa"/>
            <w:tcBorders>
              <w:top w:val="single" w:sz="6" w:space="0" w:color="414142"/>
              <w:left w:val="single" w:sz="6" w:space="0" w:color="414142"/>
              <w:bottom w:val="single" w:sz="6" w:space="0" w:color="414142"/>
              <w:right w:val="single" w:sz="6" w:space="0" w:color="414142"/>
            </w:tcBorders>
          </w:tcPr>
          <w:p w14:paraId="29FA53C3" w14:textId="77777777" w:rsidR="000C7EFF" w:rsidRPr="00F31BFB" w:rsidRDefault="00E203EE">
            <w:pPr>
              <w:rPr>
                <w:color w:val="auto"/>
              </w:rPr>
            </w:pPr>
            <w:r w:rsidRPr="00F31BFB">
              <w:rPr>
                <w:color w:val="auto"/>
              </w:rPr>
              <w:t>2.</w:t>
            </w:r>
          </w:p>
        </w:tc>
        <w:tc>
          <w:tcPr>
            <w:tcW w:w="2511" w:type="dxa"/>
            <w:tcBorders>
              <w:top w:val="single" w:sz="6" w:space="0" w:color="414142"/>
              <w:left w:val="single" w:sz="6" w:space="0" w:color="414142"/>
              <w:bottom w:val="single" w:sz="6" w:space="0" w:color="414142"/>
              <w:right w:val="single" w:sz="6" w:space="0" w:color="414142"/>
            </w:tcBorders>
          </w:tcPr>
          <w:p w14:paraId="036C375C" w14:textId="77777777" w:rsidR="000C7EFF" w:rsidRPr="00F31BFB" w:rsidRDefault="00E203EE">
            <w:pPr>
              <w:rPr>
                <w:color w:val="auto"/>
              </w:rPr>
            </w:pPr>
            <w:r w:rsidRPr="00F31BFB">
              <w:rPr>
                <w:color w:val="auto"/>
              </w:rPr>
              <w:t>Sabiedrības līdzdalība projekta izstrādē</w:t>
            </w:r>
          </w:p>
        </w:tc>
        <w:tc>
          <w:tcPr>
            <w:tcW w:w="6032" w:type="dxa"/>
            <w:tcBorders>
              <w:top w:val="single" w:sz="6" w:space="0" w:color="414142"/>
              <w:left w:val="single" w:sz="6" w:space="0" w:color="414142"/>
              <w:bottom w:val="single" w:sz="6" w:space="0" w:color="414142"/>
              <w:right w:val="single" w:sz="6" w:space="0" w:color="414142"/>
            </w:tcBorders>
          </w:tcPr>
          <w:p w14:paraId="69947DE4" w14:textId="3D812F4D" w:rsidR="007E0406" w:rsidRPr="00F31BFB" w:rsidRDefault="007E0406" w:rsidP="007E0406">
            <w:pPr>
              <w:spacing w:after="120"/>
              <w:jc w:val="both"/>
              <w:rPr>
                <w:color w:val="auto"/>
              </w:rPr>
            </w:pPr>
            <w:r w:rsidRPr="007E0406">
              <w:rPr>
                <w:iCs/>
              </w:rPr>
              <w:t xml:space="preserve">Lai nodrošinātu efektīvu, atklātu, ietverošu, savlaicīgu un atbildīgu sabiedrības līdzdalību, un sabiedrības pārstāvjiem nodrošinātu iespēju </w:t>
            </w:r>
            <w:r w:rsidRPr="00E1674D">
              <w:rPr>
                <w:iCs/>
              </w:rPr>
              <w:t>rakstiski sniegt viedokli</w:t>
            </w:r>
            <w:r w:rsidRPr="007E0406">
              <w:rPr>
                <w:iCs/>
              </w:rPr>
              <w:t xml:space="preserve"> par </w:t>
            </w:r>
            <w:r w:rsidRPr="00E1674D">
              <w:rPr>
                <w:iCs/>
              </w:rPr>
              <w:t>projektu</w:t>
            </w:r>
            <w:r w:rsidRPr="007E0406">
              <w:rPr>
                <w:iCs/>
              </w:rPr>
              <w:t xml:space="preserve"> tā izstrādes stadijā, </w:t>
            </w:r>
            <w:r w:rsidRPr="007E0406">
              <w:t xml:space="preserve">informācija par </w:t>
            </w:r>
            <w:r w:rsidRPr="00E1674D">
              <w:t>projektu</w:t>
            </w:r>
            <w:r w:rsidRPr="007E0406">
              <w:t xml:space="preserve"> ievietota Iekšlietu ministrijas tīmekļa vietnē sadaļas “Sabiedrības līdzdalība” apakšsadaļā </w:t>
            </w:r>
            <w:r w:rsidRPr="00E1674D">
              <w:t>“Diskusiju dokumenti”.</w:t>
            </w:r>
          </w:p>
        </w:tc>
      </w:tr>
      <w:tr w:rsidR="00DF1B2F" w:rsidRPr="00F31BFB" w14:paraId="29DC91AA" w14:textId="77777777" w:rsidTr="00795371">
        <w:trPr>
          <w:trHeight w:val="460"/>
          <w:jc w:val="center"/>
        </w:trPr>
        <w:tc>
          <w:tcPr>
            <w:tcW w:w="521" w:type="dxa"/>
            <w:tcBorders>
              <w:top w:val="single" w:sz="6" w:space="0" w:color="414142"/>
              <w:left w:val="single" w:sz="6" w:space="0" w:color="414142"/>
              <w:bottom w:val="single" w:sz="6" w:space="0" w:color="414142"/>
              <w:right w:val="single" w:sz="6" w:space="0" w:color="414142"/>
            </w:tcBorders>
          </w:tcPr>
          <w:p w14:paraId="408695B7" w14:textId="77777777" w:rsidR="000C7EFF" w:rsidRPr="00F31BFB" w:rsidRDefault="00E203EE">
            <w:pPr>
              <w:rPr>
                <w:color w:val="auto"/>
              </w:rPr>
            </w:pPr>
            <w:r w:rsidRPr="00F31BFB">
              <w:rPr>
                <w:color w:val="auto"/>
              </w:rPr>
              <w:t>3.</w:t>
            </w:r>
          </w:p>
        </w:tc>
        <w:tc>
          <w:tcPr>
            <w:tcW w:w="2511" w:type="dxa"/>
            <w:tcBorders>
              <w:top w:val="single" w:sz="6" w:space="0" w:color="414142"/>
              <w:left w:val="single" w:sz="6" w:space="0" w:color="414142"/>
              <w:bottom w:val="single" w:sz="6" w:space="0" w:color="414142"/>
              <w:right w:val="single" w:sz="6" w:space="0" w:color="414142"/>
            </w:tcBorders>
          </w:tcPr>
          <w:p w14:paraId="062A5352" w14:textId="77777777" w:rsidR="000C7EFF" w:rsidRPr="00F31BFB" w:rsidRDefault="00E203EE">
            <w:pPr>
              <w:rPr>
                <w:color w:val="auto"/>
              </w:rPr>
            </w:pPr>
            <w:r w:rsidRPr="00F31BFB">
              <w:rPr>
                <w:color w:val="auto"/>
              </w:rPr>
              <w:t>Sabiedrības līdzdalības rezultāti</w:t>
            </w:r>
          </w:p>
        </w:tc>
        <w:tc>
          <w:tcPr>
            <w:tcW w:w="6032" w:type="dxa"/>
            <w:tcBorders>
              <w:top w:val="single" w:sz="6" w:space="0" w:color="414142"/>
              <w:left w:val="single" w:sz="6" w:space="0" w:color="414142"/>
              <w:bottom w:val="single" w:sz="6" w:space="0" w:color="414142"/>
              <w:right w:val="single" w:sz="6" w:space="0" w:color="414142"/>
            </w:tcBorders>
          </w:tcPr>
          <w:p w14:paraId="20CB1475" w14:textId="05F3D2DA" w:rsidR="000C7EFF" w:rsidRPr="000B0EA2" w:rsidRDefault="000B0EA2" w:rsidP="000B0EA2">
            <w:pPr>
              <w:rPr>
                <w:color w:val="auto"/>
              </w:rPr>
            </w:pPr>
            <w:r w:rsidRPr="000B0EA2">
              <w:rPr>
                <w:rStyle w:val="Emphasis"/>
                <w:bCs/>
                <w:i w:val="0"/>
                <w:shd w:val="clear" w:color="auto" w:fill="FFFFFF"/>
              </w:rPr>
              <w:t>Sadaļa tiks papildināta</w:t>
            </w:r>
            <w:r w:rsidRPr="000B0EA2">
              <w:rPr>
                <w:shd w:val="clear" w:color="auto" w:fill="FFFFFF"/>
              </w:rPr>
              <w:t> pēc sabiedrības līdzdalības procesa termiņa beigām.</w:t>
            </w:r>
          </w:p>
        </w:tc>
      </w:tr>
      <w:tr w:rsidR="00DF1B2F" w:rsidRPr="00F31BFB" w14:paraId="25FD52B3" w14:textId="77777777" w:rsidTr="00795371">
        <w:trPr>
          <w:trHeight w:val="460"/>
          <w:jc w:val="center"/>
        </w:trPr>
        <w:tc>
          <w:tcPr>
            <w:tcW w:w="521" w:type="dxa"/>
            <w:tcBorders>
              <w:top w:val="single" w:sz="6" w:space="0" w:color="414142"/>
              <w:left w:val="single" w:sz="6" w:space="0" w:color="414142"/>
              <w:bottom w:val="single" w:sz="6" w:space="0" w:color="414142"/>
              <w:right w:val="single" w:sz="6" w:space="0" w:color="414142"/>
            </w:tcBorders>
          </w:tcPr>
          <w:p w14:paraId="0DCCF357" w14:textId="77777777" w:rsidR="000C7EFF" w:rsidRPr="00F31BFB" w:rsidRDefault="00E203EE">
            <w:pPr>
              <w:rPr>
                <w:color w:val="auto"/>
              </w:rPr>
            </w:pPr>
            <w:r w:rsidRPr="00F31BFB">
              <w:rPr>
                <w:color w:val="auto"/>
              </w:rPr>
              <w:t>4.</w:t>
            </w:r>
          </w:p>
        </w:tc>
        <w:tc>
          <w:tcPr>
            <w:tcW w:w="2511" w:type="dxa"/>
            <w:tcBorders>
              <w:top w:val="single" w:sz="6" w:space="0" w:color="414142"/>
              <w:left w:val="single" w:sz="6" w:space="0" w:color="414142"/>
              <w:bottom w:val="single" w:sz="6" w:space="0" w:color="414142"/>
              <w:right w:val="single" w:sz="6" w:space="0" w:color="414142"/>
            </w:tcBorders>
          </w:tcPr>
          <w:p w14:paraId="0A9FF626" w14:textId="77777777" w:rsidR="000C7EFF" w:rsidRPr="00F31BFB" w:rsidRDefault="00E203EE">
            <w:pPr>
              <w:rPr>
                <w:color w:val="auto"/>
              </w:rPr>
            </w:pPr>
            <w:r w:rsidRPr="00F31BFB">
              <w:rPr>
                <w:color w:val="auto"/>
              </w:rPr>
              <w:t>Cita informācija</w:t>
            </w:r>
          </w:p>
        </w:tc>
        <w:tc>
          <w:tcPr>
            <w:tcW w:w="6032" w:type="dxa"/>
            <w:tcBorders>
              <w:top w:val="single" w:sz="6" w:space="0" w:color="414142"/>
              <w:left w:val="single" w:sz="6" w:space="0" w:color="414142"/>
              <w:bottom w:val="single" w:sz="6" w:space="0" w:color="414142"/>
              <w:right w:val="single" w:sz="6" w:space="0" w:color="414142"/>
            </w:tcBorders>
          </w:tcPr>
          <w:p w14:paraId="35B2C35B" w14:textId="77777777" w:rsidR="000C7EFF" w:rsidRPr="00F31BFB" w:rsidRDefault="00E203EE">
            <w:pPr>
              <w:spacing w:after="120"/>
              <w:rPr>
                <w:color w:val="auto"/>
              </w:rPr>
            </w:pPr>
            <w:r w:rsidRPr="00F31BFB">
              <w:rPr>
                <w:color w:val="auto"/>
              </w:rPr>
              <w:t>Nav</w:t>
            </w:r>
          </w:p>
        </w:tc>
      </w:tr>
    </w:tbl>
    <w:p w14:paraId="025A724D" w14:textId="77777777" w:rsidR="000C7EFF" w:rsidRPr="00F31BFB" w:rsidRDefault="00E203EE">
      <w:pPr>
        <w:shd w:val="clear" w:color="auto" w:fill="FFFFFF"/>
        <w:ind w:firstLine="300"/>
        <w:rPr>
          <w:color w:val="auto"/>
        </w:rPr>
      </w:pPr>
      <w:r w:rsidRPr="00F31BFB">
        <w:rPr>
          <w:rFonts w:eastAsia="Arial"/>
          <w:color w:val="auto"/>
        </w:rPr>
        <w:t> </w:t>
      </w:r>
    </w:p>
    <w:tbl>
      <w:tblPr>
        <w:tblStyle w:val="a7"/>
        <w:tblW w:w="9064" w:type="dxa"/>
        <w:jc w:val="center"/>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468"/>
        <w:gridCol w:w="3180"/>
        <w:gridCol w:w="5416"/>
      </w:tblGrid>
      <w:tr w:rsidR="00DF1B2F" w:rsidRPr="00F31BFB" w14:paraId="37788BDA" w14:textId="77777777" w:rsidTr="00795371">
        <w:trPr>
          <w:trHeight w:val="360"/>
          <w:jc w:val="center"/>
        </w:trPr>
        <w:tc>
          <w:tcPr>
            <w:tcW w:w="9064" w:type="dxa"/>
            <w:gridSpan w:val="3"/>
            <w:tcBorders>
              <w:top w:val="single" w:sz="6" w:space="0" w:color="414142"/>
              <w:left w:val="single" w:sz="6" w:space="0" w:color="414142"/>
              <w:bottom w:val="single" w:sz="6" w:space="0" w:color="414142"/>
              <w:right w:val="single" w:sz="6" w:space="0" w:color="414142"/>
            </w:tcBorders>
            <w:vAlign w:val="center"/>
          </w:tcPr>
          <w:p w14:paraId="62DF9C35" w14:textId="77777777" w:rsidR="000C7EFF" w:rsidRPr="00F31BFB" w:rsidRDefault="00E203EE">
            <w:pPr>
              <w:jc w:val="center"/>
              <w:rPr>
                <w:b/>
                <w:color w:val="auto"/>
              </w:rPr>
            </w:pPr>
            <w:r w:rsidRPr="00F31BFB">
              <w:rPr>
                <w:b/>
                <w:color w:val="auto"/>
              </w:rPr>
              <w:t>VII. Tiesību akta projekta izpildes nodrošināšana un tās ietekme uz institūcijām</w:t>
            </w:r>
          </w:p>
        </w:tc>
      </w:tr>
      <w:tr w:rsidR="00DF1B2F" w:rsidRPr="00F31BFB" w14:paraId="312568C1" w14:textId="77777777" w:rsidTr="00795371">
        <w:trPr>
          <w:trHeight w:val="420"/>
          <w:jc w:val="center"/>
        </w:trPr>
        <w:tc>
          <w:tcPr>
            <w:tcW w:w="468" w:type="dxa"/>
            <w:tcBorders>
              <w:top w:val="single" w:sz="6" w:space="0" w:color="414142"/>
              <w:left w:val="single" w:sz="6" w:space="0" w:color="414142"/>
              <w:bottom w:val="single" w:sz="6" w:space="0" w:color="414142"/>
              <w:right w:val="single" w:sz="6" w:space="0" w:color="414142"/>
            </w:tcBorders>
          </w:tcPr>
          <w:p w14:paraId="2699F892" w14:textId="77777777" w:rsidR="000C7EFF" w:rsidRPr="00F31BFB" w:rsidRDefault="00E203EE">
            <w:pPr>
              <w:rPr>
                <w:color w:val="auto"/>
              </w:rPr>
            </w:pPr>
            <w:r w:rsidRPr="00F31BFB">
              <w:rPr>
                <w:color w:val="auto"/>
              </w:rPr>
              <w:t>1.</w:t>
            </w:r>
          </w:p>
        </w:tc>
        <w:tc>
          <w:tcPr>
            <w:tcW w:w="3180" w:type="dxa"/>
            <w:tcBorders>
              <w:top w:val="single" w:sz="6" w:space="0" w:color="414142"/>
              <w:left w:val="single" w:sz="6" w:space="0" w:color="414142"/>
              <w:bottom w:val="single" w:sz="6" w:space="0" w:color="414142"/>
              <w:right w:val="single" w:sz="6" w:space="0" w:color="414142"/>
            </w:tcBorders>
          </w:tcPr>
          <w:p w14:paraId="7BE1D2BA" w14:textId="77777777" w:rsidR="000C7EFF" w:rsidRPr="00F31BFB" w:rsidRDefault="00E203EE">
            <w:pPr>
              <w:rPr>
                <w:color w:val="auto"/>
              </w:rPr>
            </w:pPr>
            <w:r w:rsidRPr="00F31BFB">
              <w:rPr>
                <w:color w:val="auto"/>
              </w:rPr>
              <w:t>Projekta izpildē iesaistītās institūcijas</w:t>
            </w:r>
          </w:p>
        </w:tc>
        <w:tc>
          <w:tcPr>
            <w:tcW w:w="5416" w:type="dxa"/>
            <w:tcBorders>
              <w:top w:val="single" w:sz="6" w:space="0" w:color="414142"/>
              <w:left w:val="single" w:sz="6" w:space="0" w:color="414142"/>
              <w:bottom w:val="single" w:sz="6" w:space="0" w:color="414142"/>
              <w:right w:val="single" w:sz="6" w:space="0" w:color="414142"/>
            </w:tcBorders>
          </w:tcPr>
          <w:p w14:paraId="215E13AC" w14:textId="7FFB79ED" w:rsidR="000C7EFF" w:rsidRPr="00F31BFB" w:rsidRDefault="005E5E1D" w:rsidP="005E5E1D">
            <w:pPr>
              <w:spacing w:after="120"/>
              <w:jc w:val="both"/>
              <w:rPr>
                <w:color w:val="auto"/>
              </w:rPr>
            </w:pPr>
            <w:r>
              <w:rPr>
                <w:color w:val="auto"/>
              </w:rPr>
              <w:t>Valsts policija</w:t>
            </w:r>
            <w:r w:rsidR="005A5778">
              <w:rPr>
                <w:color w:val="auto"/>
              </w:rPr>
              <w:t>, Labklājības ministrija</w:t>
            </w:r>
          </w:p>
        </w:tc>
      </w:tr>
      <w:tr w:rsidR="00DF1B2F" w:rsidRPr="00F31BFB" w14:paraId="1A5FE730" w14:textId="77777777" w:rsidTr="00795371">
        <w:trPr>
          <w:trHeight w:val="440"/>
          <w:jc w:val="center"/>
        </w:trPr>
        <w:tc>
          <w:tcPr>
            <w:tcW w:w="468" w:type="dxa"/>
            <w:tcBorders>
              <w:top w:val="single" w:sz="6" w:space="0" w:color="414142"/>
              <w:left w:val="single" w:sz="6" w:space="0" w:color="414142"/>
              <w:bottom w:val="single" w:sz="6" w:space="0" w:color="414142"/>
              <w:right w:val="single" w:sz="6" w:space="0" w:color="414142"/>
            </w:tcBorders>
          </w:tcPr>
          <w:p w14:paraId="03308198" w14:textId="77777777" w:rsidR="000C7EFF" w:rsidRPr="00F31BFB" w:rsidRDefault="00E203EE">
            <w:pPr>
              <w:rPr>
                <w:color w:val="auto"/>
              </w:rPr>
            </w:pPr>
            <w:r w:rsidRPr="00F31BFB">
              <w:rPr>
                <w:color w:val="auto"/>
              </w:rPr>
              <w:t>2.</w:t>
            </w:r>
          </w:p>
        </w:tc>
        <w:tc>
          <w:tcPr>
            <w:tcW w:w="3180" w:type="dxa"/>
            <w:tcBorders>
              <w:top w:val="single" w:sz="6" w:space="0" w:color="414142"/>
              <w:left w:val="single" w:sz="6" w:space="0" w:color="414142"/>
              <w:bottom w:val="single" w:sz="6" w:space="0" w:color="414142"/>
              <w:right w:val="single" w:sz="6" w:space="0" w:color="414142"/>
            </w:tcBorders>
          </w:tcPr>
          <w:p w14:paraId="76E850A6" w14:textId="77777777" w:rsidR="000C7EFF" w:rsidRPr="00F31BFB" w:rsidRDefault="00E203EE">
            <w:pPr>
              <w:rPr>
                <w:color w:val="auto"/>
              </w:rPr>
            </w:pPr>
            <w:r w:rsidRPr="00F31BFB">
              <w:rPr>
                <w:color w:val="auto"/>
              </w:rPr>
              <w:t>Projekta izpildes ietekme uz pārvaldes funkcijām un institucionālo struktūru.</w:t>
            </w:r>
          </w:p>
          <w:p w14:paraId="496AE57F" w14:textId="77777777" w:rsidR="000C7EFF" w:rsidRPr="00F31BFB" w:rsidRDefault="00E203EE">
            <w:pPr>
              <w:rPr>
                <w:color w:val="auto"/>
              </w:rPr>
            </w:pPr>
            <w:r w:rsidRPr="00F31BFB">
              <w:rPr>
                <w:color w:val="auto"/>
              </w:rPr>
              <w:t>Jaunu institūciju izveide, esošu institūciju likvidācija vai reorganizācija, to ietekme uz institūcijas cilvēkresursiem</w:t>
            </w:r>
          </w:p>
        </w:tc>
        <w:tc>
          <w:tcPr>
            <w:tcW w:w="5416" w:type="dxa"/>
            <w:tcBorders>
              <w:top w:val="single" w:sz="6" w:space="0" w:color="414142"/>
              <w:left w:val="single" w:sz="6" w:space="0" w:color="414142"/>
              <w:bottom w:val="single" w:sz="6" w:space="0" w:color="414142"/>
              <w:right w:val="single" w:sz="6" w:space="0" w:color="414142"/>
            </w:tcBorders>
          </w:tcPr>
          <w:p w14:paraId="24F306FD" w14:textId="0A924250" w:rsidR="000C7EFF" w:rsidRPr="00F31BFB" w:rsidRDefault="00557B38" w:rsidP="00557B38">
            <w:pPr>
              <w:spacing w:after="120"/>
              <w:jc w:val="both"/>
              <w:rPr>
                <w:color w:val="auto"/>
              </w:rPr>
            </w:pPr>
            <w:r>
              <w:rPr>
                <w:color w:val="auto"/>
              </w:rPr>
              <w:t xml:space="preserve">Projekta izpilde neietekmēs pārvaldes funkcijas vai institucionālo struktūru. </w:t>
            </w:r>
            <w:r w:rsidRPr="00F31BFB">
              <w:rPr>
                <w:color w:val="auto"/>
              </w:rPr>
              <w:t>Projekt</w:t>
            </w:r>
            <w:r>
              <w:rPr>
                <w:color w:val="auto"/>
              </w:rPr>
              <w:t>s</w:t>
            </w:r>
            <w:r w:rsidRPr="00F31BFB">
              <w:rPr>
                <w:color w:val="auto"/>
              </w:rPr>
              <w:t xml:space="preserve"> </w:t>
            </w:r>
            <w:r w:rsidRPr="00B16458">
              <w:rPr>
                <w:rFonts w:eastAsia="Calibri"/>
                <w:iCs/>
              </w:rPr>
              <w:t xml:space="preserve">neparedz jaunu institūciju veidošanu, kā arī netiks likvidētas vai reorganizētas esošās institūcijas. </w:t>
            </w:r>
            <w:r w:rsidRPr="009E1AC5">
              <w:t>P</w:t>
            </w:r>
            <w:r w:rsidRPr="00B16458">
              <w:t>rojekts tiks realizēts institūcijām esošo finanšu līdzekļu un esošo cilvēkresursu ietvaros</w:t>
            </w:r>
            <w:r w:rsidRPr="00DA62EC">
              <w:t>.</w:t>
            </w:r>
          </w:p>
        </w:tc>
      </w:tr>
      <w:tr w:rsidR="000C7EFF" w:rsidRPr="00F31BFB" w14:paraId="34564D6C" w14:textId="77777777" w:rsidTr="00795371">
        <w:trPr>
          <w:trHeight w:val="380"/>
          <w:jc w:val="center"/>
        </w:trPr>
        <w:tc>
          <w:tcPr>
            <w:tcW w:w="468" w:type="dxa"/>
            <w:tcBorders>
              <w:top w:val="single" w:sz="6" w:space="0" w:color="414142"/>
              <w:left w:val="single" w:sz="6" w:space="0" w:color="414142"/>
              <w:bottom w:val="single" w:sz="6" w:space="0" w:color="414142"/>
              <w:right w:val="single" w:sz="6" w:space="0" w:color="414142"/>
            </w:tcBorders>
          </w:tcPr>
          <w:p w14:paraId="6C34D6A8" w14:textId="6E1A108B" w:rsidR="000C7EFF" w:rsidRPr="00F31BFB" w:rsidRDefault="00E203EE">
            <w:pPr>
              <w:rPr>
                <w:color w:val="auto"/>
              </w:rPr>
            </w:pPr>
            <w:r w:rsidRPr="00F31BFB">
              <w:rPr>
                <w:color w:val="auto"/>
              </w:rPr>
              <w:t>3.</w:t>
            </w:r>
          </w:p>
        </w:tc>
        <w:tc>
          <w:tcPr>
            <w:tcW w:w="3180" w:type="dxa"/>
            <w:tcBorders>
              <w:top w:val="single" w:sz="6" w:space="0" w:color="414142"/>
              <w:left w:val="single" w:sz="6" w:space="0" w:color="414142"/>
              <w:bottom w:val="single" w:sz="6" w:space="0" w:color="414142"/>
              <w:right w:val="single" w:sz="6" w:space="0" w:color="414142"/>
            </w:tcBorders>
          </w:tcPr>
          <w:p w14:paraId="421BCA0A" w14:textId="77777777" w:rsidR="000C7EFF" w:rsidRPr="00F31BFB" w:rsidRDefault="00E203EE">
            <w:pPr>
              <w:rPr>
                <w:color w:val="auto"/>
              </w:rPr>
            </w:pPr>
            <w:r w:rsidRPr="00F31BFB">
              <w:rPr>
                <w:color w:val="auto"/>
              </w:rPr>
              <w:t>Cita informācija</w:t>
            </w:r>
          </w:p>
        </w:tc>
        <w:tc>
          <w:tcPr>
            <w:tcW w:w="5416" w:type="dxa"/>
            <w:tcBorders>
              <w:top w:val="single" w:sz="6" w:space="0" w:color="414142"/>
              <w:left w:val="single" w:sz="6" w:space="0" w:color="414142"/>
              <w:bottom w:val="single" w:sz="6" w:space="0" w:color="414142"/>
              <w:right w:val="single" w:sz="6" w:space="0" w:color="414142"/>
            </w:tcBorders>
          </w:tcPr>
          <w:p w14:paraId="3F22C7C3" w14:textId="77777777" w:rsidR="000C7EFF" w:rsidRPr="00F31BFB" w:rsidRDefault="00E203EE">
            <w:pPr>
              <w:spacing w:after="120"/>
              <w:rPr>
                <w:color w:val="auto"/>
              </w:rPr>
            </w:pPr>
            <w:r w:rsidRPr="00F31BFB">
              <w:rPr>
                <w:color w:val="auto"/>
              </w:rPr>
              <w:t>Nav</w:t>
            </w:r>
          </w:p>
        </w:tc>
      </w:tr>
    </w:tbl>
    <w:p w14:paraId="394ED9D1" w14:textId="25F6912A" w:rsidR="00795371" w:rsidRPr="00F31BFB" w:rsidRDefault="00795371">
      <w:pPr>
        <w:tabs>
          <w:tab w:val="left" w:pos="6237"/>
        </w:tabs>
        <w:spacing w:after="120"/>
        <w:rPr>
          <w:color w:val="auto"/>
        </w:rPr>
      </w:pPr>
    </w:p>
    <w:p w14:paraId="01EFCE39" w14:textId="77777777" w:rsidR="000C7EFF" w:rsidRDefault="008E359E" w:rsidP="001A479C">
      <w:pPr>
        <w:tabs>
          <w:tab w:val="left" w:pos="6237"/>
        </w:tabs>
        <w:spacing w:after="120"/>
        <w:rPr>
          <w:color w:val="auto"/>
        </w:rPr>
      </w:pPr>
      <w:r w:rsidRPr="00F31BFB">
        <w:rPr>
          <w:color w:val="auto"/>
        </w:rPr>
        <w:lastRenderedPageBreak/>
        <w:t>Iekšlietu ministrs</w:t>
      </w:r>
      <w:r w:rsidRPr="00F31BFB">
        <w:rPr>
          <w:color w:val="auto"/>
        </w:rPr>
        <w:tab/>
        <w:t xml:space="preserve">Sandis </w:t>
      </w:r>
      <w:proofErr w:type="spellStart"/>
      <w:r w:rsidRPr="00F31BFB">
        <w:rPr>
          <w:color w:val="auto"/>
        </w:rPr>
        <w:t>Ģirģens</w:t>
      </w:r>
      <w:proofErr w:type="spellEnd"/>
    </w:p>
    <w:p w14:paraId="6546F025" w14:textId="77777777" w:rsidR="0027478C" w:rsidRDefault="0027478C" w:rsidP="001A479C">
      <w:pPr>
        <w:tabs>
          <w:tab w:val="left" w:pos="6237"/>
        </w:tabs>
        <w:spacing w:after="120"/>
        <w:rPr>
          <w:color w:val="auto"/>
        </w:rPr>
      </w:pPr>
    </w:p>
    <w:p w14:paraId="6D77B9B1" w14:textId="2EBDF12F" w:rsidR="0027478C" w:rsidRDefault="00324AF0" w:rsidP="001A479C">
      <w:pPr>
        <w:tabs>
          <w:tab w:val="left" w:pos="6237"/>
        </w:tabs>
        <w:spacing w:after="120"/>
        <w:rPr>
          <w:color w:val="auto"/>
        </w:rPr>
      </w:pPr>
      <w:r>
        <w:rPr>
          <w:color w:val="auto"/>
        </w:rPr>
        <w:t xml:space="preserve">Vīza: </w:t>
      </w:r>
      <w:r w:rsidR="0027478C">
        <w:rPr>
          <w:color w:val="auto"/>
        </w:rPr>
        <w:t xml:space="preserve">Valsts sekretārs </w:t>
      </w:r>
      <w:r w:rsidR="0027478C">
        <w:rPr>
          <w:color w:val="auto"/>
        </w:rPr>
        <w:tab/>
      </w:r>
      <w:proofErr w:type="spellStart"/>
      <w:r w:rsidR="0027478C">
        <w:rPr>
          <w:color w:val="auto"/>
        </w:rPr>
        <w:t>Dimitrijs</w:t>
      </w:r>
      <w:proofErr w:type="spellEnd"/>
      <w:r w:rsidR="0027478C">
        <w:rPr>
          <w:color w:val="auto"/>
        </w:rPr>
        <w:t xml:space="preserve"> </w:t>
      </w:r>
      <w:proofErr w:type="spellStart"/>
      <w:r w:rsidR="0027478C">
        <w:rPr>
          <w:color w:val="auto"/>
        </w:rPr>
        <w:t>Trofimovs</w:t>
      </w:r>
      <w:proofErr w:type="spellEnd"/>
    </w:p>
    <w:p w14:paraId="3453F145" w14:textId="77777777" w:rsidR="0027478C" w:rsidRDefault="0027478C" w:rsidP="001A479C">
      <w:pPr>
        <w:tabs>
          <w:tab w:val="left" w:pos="6237"/>
        </w:tabs>
        <w:spacing w:after="120"/>
        <w:rPr>
          <w:color w:val="auto"/>
        </w:rPr>
      </w:pPr>
    </w:p>
    <w:p w14:paraId="3E5E03D0" w14:textId="77777777" w:rsidR="0027478C" w:rsidRDefault="0027478C" w:rsidP="001A479C">
      <w:pPr>
        <w:tabs>
          <w:tab w:val="left" w:pos="6237"/>
        </w:tabs>
        <w:spacing w:after="120"/>
        <w:rPr>
          <w:color w:val="auto"/>
        </w:rPr>
      </w:pPr>
    </w:p>
    <w:p w14:paraId="37C50D31" w14:textId="77777777" w:rsidR="0027478C" w:rsidRDefault="0027478C" w:rsidP="001A479C">
      <w:pPr>
        <w:tabs>
          <w:tab w:val="left" w:pos="6237"/>
        </w:tabs>
        <w:spacing w:after="120"/>
        <w:rPr>
          <w:color w:val="auto"/>
        </w:rPr>
      </w:pPr>
    </w:p>
    <w:p w14:paraId="1D97E758" w14:textId="77777777" w:rsidR="0027478C" w:rsidRDefault="0027478C" w:rsidP="001A479C">
      <w:pPr>
        <w:tabs>
          <w:tab w:val="left" w:pos="6237"/>
        </w:tabs>
        <w:spacing w:after="120"/>
        <w:rPr>
          <w:color w:val="auto"/>
        </w:rPr>
      </w:pPr>
    </w:p>
    <w:p w14:paraId="7BAD1668" w14:textId="77777777" w:rsidR="0027478C" w:rsidRDefault="0027478C" w:rsidP="001A479C">
      <w:pPr>
        <w:tabs>
          <w:tab w:val="left" w:pos="6237"/>
        </w:tabs>
        <w:spacing w:after="120"/>
        <w:rPr>
          <w:color w:val="auto"/>
        </w:rPr>
      </w:pPr>
    </w:p>
    <w:p w14:paraId="6792ECF0" w14:textId="3CFE813B" w:rsidR="0027478C" w:rsidRDefault="0027478C" w:rsidP="001A479C">
      <w:pPr>
        <w:tabs>
          <w:tab w:val="left" w:pos="6237"/>
        </w:tabs>
        <w:spacing w:after="120"/>
        <w:rPr>
          <w:color w:val="auto"/>
        </w:rPr>
      </w:pPr>
    </w:p>
    <w:p w14:paraId="1FCA2CC8" w14:textId="5F028DB8" w:rsidR="00324AF0" w:rsidRDefault="0027478C" w:rsidP="0027478C">
      <w:pPr>
        <w:tabs>
          <w:tab w:val="left" w:pos="6237"/>
        </w:tabs>
        <w:rPr>
          <w:color w:val="auto"/>
          <w:sz w:val="20"/>
          <w:szCs w:val="20"/>
        </w:rPr>
      </w:pPr>
      <w:r w:rsidRPr="0027478C">
        <w:rPr>
          <w:color w:val="auto"/>
          <w:sz w:val="20"/>
          <w:szCs w:val="20"/>
        </w:rPr>
        <w:t>I</w:t>
      </w:r>
      <w:r w:rsidR="00324AF0">
        <w:rPr>
          <w:color w:val="auto"/>
          <w:sz w:val="20"/>
          <w:szCs w:val="20"/>
        </w:rPr>
        <w:t>.</w:t>
      </w:r>
      <w:r w:rsidRPr="0027478C">
        <w:rPr>
          <w:color w:val="auto"/>
          <w:sz w:val="20"/>
          <w:szCs w:val="20"/>
        </w:rPr>
        <w:t>Valaine,</w:t>
      </w:r>
    </w:p>
    <w:p w14:paraId="01351EF4" w14:textId="2A33D700" w:rsidR="0027478C" w:rsidRDefault="0027478C" w:rsidP="0027478C">
      <w:pPr>
        <w:tabs>
          <w:tab w:val="left" w:pos="6237"/>
        </w:tabs>
        <w:rPr>
          <w:color w:val="auto"/>
          <w:sz w:val="20"/>
          <w:szCs w:val="20"/>
        </w:rPr>
      </w:pPr>
      <w:r w:rsidRPr="0027478C">
        <w:rPr>
          <w:color w:val="auto"/>
          <w:sz w:val="20"/>
          <w:szCs w:val="20"/>
        </w:rPr>
        <w:t>67829599</w:t>
      </w:r>
      <w:r w:rsidR="00324AF0">
        <w:rPr>
          <w:rStyle w:val="Hyperlink"/>
          <w:sz w:val="20"/>
          <w:szCs w:val="20"/>
        </w:rPr>
        <w:t>,</w:t>
      </w:r>
      <w:hyperlink r:id="rId15" w:history="1">
        <w:r w:rsidR="00324AF0" w:rsidRPr="00324AF0">
          <w:rPr>
            <w:rStyle w:val="Hyperlink"/>
            <w:sz w:val="20"/>
            <w:szCs w:val="20"/>
          </w:rPr>
          <w:t>iveta.valaine@vp.gov.lv</w:t>
        </w:r>
      </w:hyperlink>
      <w:r w:rsidRPr="0027478C">
        <w:rPr>
          <w:color w:val="auto"/>
          <w:sz w:val="20"/>
          <w:szCs w:val="20"/>
        </w:rPr>
        <w:t xml:space="preserve"> </w:t>
      </w:r>
    </w:p>
    <w:p w14:paraId="5B35A233" w14:textId="77777777" w:rsidR="00324AF0" w:rsidRDefault="00324AF0" w:rsidP="00324AF0">
      <w:pPr>
        <w:tabs>
          <w:tab w:val="left" w:pos="3960"/>
        </w:tabs>
        <w:jc w:val="both"/>
        <w:rPr>
          <w:sz w:val="20"/>
          <w:szCs w:val="20"/>
        </w:rPr>
      </w:pPr>
      <w:r>
        <w:rPr>
          <w:sz w:val="20"/>
          <w:szCs w:val="20"/>
        </w:rPr>
        <w:t>I.Sproģe</w:t>
      </w:r>
    </w:p>
    <w:p w14:paraId="339C55BF" w14:textId="77777777" w:rsidR="00324AF0" w:rsidRDefault="00324AF0" w:rsidP="00324AF0">
      <w:pPr>
        <w:tabs>
          <w:tab w:val="left" w:pos="3960"/>
        </w:tabs>
        <w:jc w:val="both"/>
        <w:rPr>
          <w:rStyle w:val="Hyperlink"/>
        </w:rPr>
      </w:pPr>
      <w:r>
        <w:rPr>
          <w:sz w:val="20"/>
          <w:szCs w:val="20"/>
        </w:rPr>
        <w:t xml:space="preserve">67219534, </w:t>
      </w:r>
      <w:hyperlink r:id="rId16" w:history="1">
        <w:r>
          <w:rPr>
            <w:rStyle w:val="Hyperlink"/>
            <w:sz w:val="20"/>
            <w:szCs w:val="20"/>
          </w:rPr>
          <w:t>inese.sproge@iem.gov.lv</w:t>
        </w:r>
      </w:hyperlink>
    </w:p>
    <w:p w14:paraId="329146EB" w14:textId="77777777" w:rsidR="00077852" w:rsidRDefault="00077852" w:rsidP="0027478C">
      <w:pPr>
        <w:tabs>
          <w:tab w:val="left" w:pos="6237"/>
        </w:tabs>
        <w:rPr>
          <w:color w:val="auto"/>
          <w:sz w:val="20"/>
          <w:szCs w:val="20"/>
        </w:rPr>
      </w:pPr>
    </w:p>
    <w:sectPr w:rsidR="00077852" w:rsidSect="00795371">
      <w:headerReference w:type="default" r:id="rId17"/>
      <w:footerReference w:type="default" r:id="rId18"/>
      <w:footerReference w:type="first" r:id="rId19"/>
      <w:pgSz w:w="11906" w:h="16838"/>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F99C4" w14:textId="77777777" w:rsidR="005E3C39" w:rsidRDefault="005E3C39">
      <w:r>
        <w:separator/>
      </w:r>
    </w:p>
  </w:endnote>
  <w:endnote w:type="continuationSeparator" w:id="0">
    <w:p w14:paraId="0269C3D8" w14:textId="77777777" w:rsidR="005E3C39" w:rsidRDefault="005E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CF13A" w14:textId="6D71C073" w:rsidR="009B00DE" w:rsidRDefault="009B00DE" w:rsidP="00FD229D">
    <w:pPr>
      <w:tabs>
        <w:tab w:val="center" w:pos="4153"/>
        <w:tab w:val="right" w:pos="8306"/>
      </w:tabs>
      <w:jc w:val="both"/>
    </w:pPr>
    <w:r>
      <w:rPr>
        <w:sz w:val="20"/>
        <w:szCs w:val="20"/>
      </w:rPr>
      <w:t>IEMAnot_050320_not_161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548FB" w14:textId="4C618511" w:rsidR="009B00DE" w:rsidRDefault="009B00DE">
    <w:pPr>
      <w:tabs>
        <w:tab w:val="center" w:pos="4153"/>
        <w:tab w:val="right" w:pos="8306"/>
      </w:tabs>
      <w:jc w:val="both"/>
      <w:rPr>
        <w:sz w:val="20"/>
        <w:szCs w:val="20"/>
      </w:rPr>
    </w:pPr>
    <w:r>
      <w:rPr>
        <w:sz w:val="20"/>
        <w:szCs w:val="20"/>
      </w:rPr>
      <w:t>IEMAnot_050320_not_161</w:t>
    </w:r>
  </w:p>
  <w:p w14:paraId="17AD98E2" w14:textId="77777777" w:rsidR="009B00DE" w:rsidRDefault="009B00DE">
    <w:pPr>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0F025" w14:textId="77777777" w:rsidR="005E3C39" w:rsidRDefault="005E3C39">
      <w:r>
        <w:separator/>
      </w:r>
    </w:p>
  </w:footnote>
  <w:footnote w:type="continuationSeparator" w:id="0">
    <w:p w14:paraId="5747ED74" w14:textId="77777777" w:rsidR="005E3C39" w:rsidRDefault="005E3C39">
      <w:r>
        <w:continuationSeparator/>
      </w:r>
    </w:p>
  </w:footnote>
  <w:footnote w:id="1">
    <w:p w14:paraId="73D3E4A7" w14:textId="143240A5" w:rsidR="009B00DE" w:rsidRPr="0032411D" w:rsidRDefault="009B00DE" w:rsidP="0033186D">
      <w:pPr>
        <w:pStyle w:val="NormalWeb"/>
        <w:kinsoku w:val="0"/>
        <w:overflowPunct w:val="0"/>
        <w:spacing w:after="0" w:line="216" w:lineRule="auto"/>
        <w:textAlignment w:val="baseline"/>
      </w:pPr>
      <w:r w:rsidRPr="0032411D">
        <w:rPr>
          <w:rStyle w:val="FootnoteReference"/>
          <w:sz w:val="20"/>
          <w:szCs w:val="20"/>
        </w:rPr>
        <w:footnoteRef/>
      </w:r>
      <w:r>
        <w:rPr>
          <w:sz w:val="20"/>
          <w:szCs w:val="20"/>
        </w:rPr>
        <w:t xml:space="preserve"> Eiropas Savienības Pamattiesību aģentūras</w:t>
      </w:r>
      <w:r w:rsidRPr="0032411D">
        <w:rPr>
          <w:sz w:val="20"/>
          <w:szCs w:val="20"/>
        </w:rPr>
        <w:t xml:space="preserve"> pētījums rāda, ka par smagāku vardarbības ģimenē gadījumu policijai ziņoja17% sieviešu https://fra.europa.eu/en/publication/2014/violence-against-women-eu-wide-survey-main-results-report. Valsts policijas veiktais pētījums „</w:t>
      </w:r>
      <w:r w:rsidRPr="0032411D">
        <w:rPr>
          <w:rFonts w:eastAsia="MS PGothic"/>
          <w:bCs/>
          <w:color w:val="000000"/>
          <w:kern w:val="24"/>
          <w:sz w:val="20"/>
          <w:szCs w:val="20"/>
        </w:rPr>
        <w:t xml:space="preserve">Latentā noziedzība un atkārtota </w:t>
      </w:r>
      <w:proofErr w:type="spellStart"/>
      <w:r w:rsidRPr="0032411D">
        <w:rPr>
          <w:rFonts w:eastAsia="MS PGothic"/>
          <w:bCs/>
          <w:color w:val="000000"/>
          <w:kern w:val="24"/>
          <w:sz w:val="20"/>
          <w:szCs w:val="20"/>
        </w:rPr>
        <w:t>viktimizācija</w:t>
      </w:r>
      <w:proofErr w:type="spellEnd"/>
      <w:r w:rsidRPr="0032411D">
        <w:rPr>
          <w:rFonts w:eastAsia="MS PGothic"/>
          <w:bCs/>
          <w:color w:val="000000"/>
          <w:kern w:val="24"/>
          <w:sz w:val="20"/>
          <w:szCs w:val="20"/>
        </w:rPr>
        <w:t xml:space="preserve"> dažādos noziedzīgos nodarījumos” </w:t>
      </w:r>
      <w:r w:rsidRPr="0032411D">
        <w:rPr>
          <w:rFonts w:eastAsia="MS PGothic"/>
          <w:color w:val="000000"/>
          <w:kern w:val="24"/>
          <w:sz w:val="20"/>
          <w:szCs w:val="20"/>
        </w:rPr>
        <w:t>(2017) rāda, ka no cilvēkiem, kas cietuši no vardarbības ģimenē, policija vērsuš</w:t>
      </w:r>
      <w:r>
        <w:rPr>
          <w:rFonts w:eastAsia="MS PGothic"/>
          <w:color w:val="000000"/>
          <w:kern w:val="24"/>
          <w:sz w:val="20"/>
          <w:szCs w:val="20"/>
        </w:rPr>
        <w:t>ies 43,7%; no tiem, kas policijā</w:t>
      </w:r>
      <w:r w:rsidRPr="0032411D">
        <w:rPr>
          <w:rFonts w:eastAsia="MS PGothic"/>
          <w:color w:val="000000"/>
          <w:kern w:val="24"/>
          <w:sz w:val="20"/>
          <w:szCs w:val="20"/>
        </w:rPr>
        <w:t xml:space="preserve"> nav vērsušies, 74% uzskatīja, ka policija nespēs palīdzēt</w:t>
      </w:r>
      <w:r>
        <w:rPr>
          <w:rFonts w:eastAsia="MS PGothic"/>
          <w:color w:val="000000"/>
          <w:kern w:val="24"/>
          <w:sz w:val="20"/>
          <w:szCs w:val="20"/>
        </w:rPr>
        <w:t>,</w:t>
      </w:r>
      <w:r w:rsidRPr="0032411D">
        <w:rPr>
          <w:rFonts w:eastAsia="MS PGothic"/>
          <w:color w:val="000000"/>
          <w:kern w:val="24"/>
          <w:sz w:val="20"/>
          <w:szCs w:val="20"/>
        </w:rPr>
        <w:t xml:space="preserve"> vai negribēja, lai kāds par notikušo uzzina.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58205" w14:textId="47BEFC91" w:rsidR="009B00DE" w:rsidRDefault="009B00DE">
    <w:pPr>
      <w:tabs>
        <w:tab w:val="center" w:pos="4153"/>
        <w:tab w:val="right" w:pos="8306"/>
      </w:tabs>
      <w:jc w:val="center"/>
    </w:pPr>
    <w:r>
      <w:fldChar w:fldCharType="begin"/>
    </w:r>
    <w:r>
      <w:instrText>PAGE</w:instrText>
    </w:r>
    <w:r>
      <w:fldChar w:fldCharType="separate"/>
    </w:r>
    <w:r w:rsidR="00B46732">
      <w:rPr>
        <w:noProof/>
      </w:rPr>
      <w:t>5</w:t>
    </w:r>
    <w:r>
      <w:fldChar w:fldCharType="end"/>
    </w:r>
  </w:p>
  <w:p w14:paraId="1099C0DA" w14:textId="77777777" w:rsidR="009B00DE" w:rsidRDefault="009B00DE">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16000"/>
    <w:multiLevelType w:val="hybridMultilevel"/>
    <w:tmpl w:val="43987AC2"/>
    <w:lvl w:ilvl="0" w:tplc="04260001">
      <w:start w:val="1"/>
      <w:numFmt w:val="bullet"/>
      <w:lvlText w:val=""/>
      <w:lvlJc w:val="left"/>
      <w:pPr>
        <w:ind w:left="1670" w:hanging="360"/>
      </w:pPr>
      <w:rPr>
        <w:rFonts w:ascii="Symbol" w:hAnsi="Symbol" w:hint="default"/>
      </w:rPr>
    </w:lvl>
    <w:lvl w:ilvl="1" w:tplc="04260001">
      <w:start w:val="1"/>
      <w:numFmt w:val="bullet"/>
      <w:lvlText w:val=""/>
      <w:lvlJc w:val="left"/>
      <w:pPr>
        <w:ind w:left="2390" w:hanging="360"/>
      </w:pPr>
      <w:rPr>
        <w:rFonts w:ascii="Symbol" w:hAnsi="Symbol" w:hint="default"/>
      </w:rPr>
    </w:lvl>
    <w:lvl w:ilvl="2" w:tplc="04260005">
      <w:start w:val="1"/>
      <w:numFmt w:val="bullet"/>
      <w:lvlText w:val=""/>
      <w:lvlJc w:val="left"/>
      <w:pPr>
        <w:ind w:left="3110" w:hanging="360"/>
      </w:pPr>
      <w:rPr>
        <w:rFonts w:ascii="Wingdings" w:hAnsi="Wingdings" w:hint="default"/>
      </w:rPr>
    </w:lvl>
    <w:lvl w:ilvl="3" w:tplc="04260001">
      <w:start w:val="1"/>
      <w:numFmt w:val="bullet"/>
      <w:lvlText w:val=""/>
      <w:lvlJc w:val="left"/>
      <w:pPr>
        <w:ind w:left="3830" w:hanging="360"/>
      </w:pPr>
      <w:rPr>
        <w:rFonts w:ascii="Symbol" w:hAnsi="Symbol" w:hint="default"/>
      </w:rPr>
    </w:lvl>
    <w:lvl w:ilvl="4" w:tplc="04260003">
      <w:start w:val="1"/>
      <w:numFmt w:val="bullet"/>
      <w:lvlText w:val="o"/>
      <w:lvlJc w:val="left"/>
      <w:pPr>
        <w:ind w:left="4550" w:hanging="360"/>
      </w:pPr>
      <w:rPr>
        <w:rFonts w:ascii="Courier New" w:hAnsi="Courier New" w:cs="Courier New" w:hint="default"/>
      </w:rPr>
    </w:lvl>
    <w:lvl w:ilvl="5" w:tplc="04260005">
      <w:start w:val="1"/>
      <w:numFmt w:val="bullet"/>
      <w:lvlText w:val=""/>
      <w:lvlJc w:val="left"/>
      <w:pPr>
        <w:ind w:left="5270" w:hanging="360"/>
      </w:pPr>
      <w:rPr>
        <w:rFonts w:ascii="Wingdings" w:hAnsi="Wingdings" w:hint="default"/>
      </w:rPr>
    </w:lvl>
    <w:lvl w:ilvl="6" w:tplc="04260001">
      <w:start w:val="1"/>
      <w:numFmt w:val="bullet"/>
      <w:lvlText w:val=""/>
      <w:lvlJc w:val="left"/>
      <w:pPr>
        <w:ind w:left="5990" w:hanging="360"/>
      </w:pPr>
      <w:rPr>
        <w:rFonts w:ascii="Symbol" w:hAnsi="Symbol" w:hint="default"/>
      </w:rPr>
    </w:lvl>
    <w:lvl w:ilvl="7" w:tplc="04260003">
      <w:start w:val="1"/>
      <w:numFmt w:val="bullet"/>
      <w:lvlText w:val="o"/>
      <w:lvlJc w:val="left"/>
      <w:pPr>
        <w:ind w:left="6710" w:hanging="360"/>
      </w:pPr>
      <w:rPr>
        <w:rFonts w:ascii="Courier New" w:hAnsi="Courier New" w:cs="Courier New" w:hint="default"/>
      </w:rPr>
    </w:lvl>
    <w:lvl w:ilvl="8" w:tplc="04260005">
      <w:start w:val="1"/>
      <w:numFmt w:val="bullet"/>
      <w:lvlText w:val=""/>
      <w:lvlJc w:val="left"/>
      <w:pPr>
        <w:ind w:left="7430" w:hanging="360"/>
      </w:pPr>
      <w:rPr>
        <w:rFonts w:ascii="Wingdings" w:hAnsi="Wingdings" w:hint="default"/>
      </w:rPr>
    </w:lvl>
  </w:abstractNum>
  <w:abstractNum w:abstractNumId="1" w15:restartNumberingAfterBreak="0">
    <w:nsid w:val="1BE55376"/>
    <w:multiLevelType w:val="multilevel"/>
    <w:tmpl w:val="26EA4BE4"/>
    <w:styleLink w:val="WWNum12"/>
    <w:lvl w:ilvl="0">
      <w:start w:val="1"/>
      <w:numFmt w:val="decimal"/>
      <w:lvlText w:val="%1."/>
      <w:lvlJc w:val="left"/>
      <w:pPr>
        <w:ind w:left="927" w:hanging="360"/>
      </w:pPr>
      <w:rPr>
        <w:rFonts w:eastAsia="Times New Roman" w:cs="Times New Roman"/>
      </w:rPr>
    </w:lvl>
    <w:lvl w:ilvl="1">
      <w:start w:val="1"/>
      <w:numFmt w:val="decimal"/>
      <w:lvlText w:val="%1.%2."/>
      <w:lvlJc w:val="left"/>
      <w:pPr>
        <w:ind w:left="1407" w:hanging="360"/>
      </w:pPr>
      <w:rPr>
        <w:rFonts w:eastAsia="Times New Roman" w:cs="Times New Roman"/>
        <w:b/>
      </w:rPr>
    </w:lvl>
    <w:lvl w:ilvl="2">
      <w:start w:val="1"/>
      <w:numFmt w:val="decimal"/>
      <w:lvlText w:val="%1.%2.%3."/>
      <w:lvlJc w:val="left"/>
      <w:pPr>
        <w:ind w:left="2727" w:hanging="720"/>
      </w:pPr>
      <w:rPr>
        <w:rFonts w:eastAsia="Times New Roman" w:cs="Times New Roman"/>
      </w:rPr>
    </w:lvl>
    <w:lvl w:ilvl="3">
      <w:start w:val="1"/>
      <w:numFmt w:val="decimal"/>
      <w:lvlText w:val="%1.%2.%3.%4."/>
      <w:lvlJc w:val="left"/>
      <w:pPr>
        <w:ind w:left="3447" w:hanging="720"/>
      </w:pPr>
      <w:rPr>
        <w:rFonts w:eastAsia="Times New Roman" w:cs="Times New Roman"/>
      </w:rPr>
    </w:lvl>
    <w:lvl w:ilvl="4">
      <w:start w:val="1"/>
      <w:numFmt w:val="decimal"/>
      <w:lvlText w:val="%1.%2.%3.%4.%5."/>
      <w:lvlJc w:val="left"/>
      <w:pPr>
        <w:ind w:left="4527" w:hanging="1080"/>
      </w:pPr>
      <w:rPr>
        <w:rFonts w:eastAsia="Times New Roman" w:cs="Times New Roman"/>
      </w:rPr>
    </w:lvl>
    <w:lvl w:ilvl="5">
      <w:start w:val="1"/>
      <w:numFmt w:val="decimal"/>
      <w:lvlText w:val="%1.%2.%3.%4.%5.%6."/>
      <w:lvlJc w:val="left"/>
      <w:pPr>
        <w:ind w:left="5247" w:hanging="1080"/>
      </w:pPr>
      <w:rPr>
        <w:rFonts w:eastAsia="Times New Roman" w:cs="Times New Roman"/>
      </w:rPr>
    </w:lvl>
    <w:lvl w:ilvl="6">
      <w:start w:val="1"/>
      <w:numFmt w:val="decimal"/>
      <w:lvlText w:val="%1.%2.%3.%4.%5.%6.%7."/>
      <w:lvlJc w:val="left"/>
      <w:pPr>
        <w:ind w:left="6327" w:hanging="1440"/>
      </w:pPr>
      <w:rPr>
        <w:rFonts w:eastAsia="Times New Roman" w:cs="Times New Roman"/>
      </w:rPr>
    </w:lvl>
    <w:lvl w:ilvl="7">
      <w:start w:val="1"/>
      <w:numFmt w:val="decimal"/>
      <w:lvlText w:val="%1.%2.%3.%4.%5.%6.%7.%8."/>
      <w:lvlJc w:val="left"/>
      <w:pPr>
        <w:ind w:left="7047" w:hanging="1440"/>
      </w:pPr>
      <w:rPr>
        <w:rFonts w:eastAsia="Times New Roman" w:cs="Times New Roman"/>
      </w:rPr>
    </w:lvl>
    <w:lvl w:ilvl="8">
      <w:start w:val="1"/>
      <w:numFmt w:val="decimal"/>
      <w:lvlText w:val="%1.%2.%3.%4.%5.%6.%7.%8.%9."/>
      <w:lvlJc w:val="left"/>
      <w:pPr>
        <w:ind w:left="8127" w:hanging="1800"/>
      </w:pPr>
      <w:rPr>
        <w:rFonts w:eastAsia="Times New Roman" w:cs="Times New Roman"/>
      </w:rPr>
    </w:lvl>
  </w:abstractNum>
  <w:abstractNum w:abstractNumId="2" w15:restartNumberingAfterBreak="0">
    <w:nsid w:val="1D1C5F4B"/>
    <w:multiLevelType w:val="hybridMultilevel"/>
    <w:tmpl w:val="F3E067E0"/>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 w15:restartNumberingAfterBreak="0">
    <w:nsid w:val="31901FAE"/>
    <w:multiLevelType w:val="multilevel"/>
    <w:tmpl w:val="5724604A"/>
    <w:styleLink w:val="WWNum15"/>
    <w:lvl w:ilvl="0">
      <w:start w:val="1"/>
      <w:numFmt w:val="decimal"/>
      <w:lvlText w:val="%1."/>
      <w:lvlJc w:val="left"/>
      <w:pPr>
        <w:ind w:left="720" w:hanging="360"/>
      </w:p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 w15:restartNumberingAfterBreak="0">
    <w:nsid w:val="3EF5778C"/>
    <w:multiLevelType w:val="hybridMultilevel"/>
    <w:tmpl w:val="8CD4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C0602"/>
    <w:multiLevelType w:val="hybridMultilevel"/>
    <w:tmpl w:val="90DCE9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D75978"/>
    <w:multiLevelType w:val="hybridMultilevel"/>
    <w:tmpl w:val="CECE54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9A058D"/>
    <w:multiLevelType w:val="hybridMultilevel"/>
    <w:tmpl w:val="2B2A6214"/>
    <w:lvl w:ilvl="0" w:tplc="ACEA1086">
      <w:start w:val="1"/>
      <w:numFmt w:val="decimal"/>
      <w:lvlText w:val="%1."/>
      <w:lvlJc w:val="left"/>
      <w:pPr>
        <w:ind w:left="762" w:hanging="360"/>
      </w:pPr>
      <w:rPr>
        <w:rFonts w:hint="default"/>
      </w:rPr>
    </w:lvl>
    <w:lvl w:ilvl="1" w:tplc="04260019" w:tentative="1">
      <w:start w:val="1"/>
      <w:numFmt w:val="lowerLetter"/>
      <w:lvlText w:val="%2."/>
      <w:lvlJc w:val="left"/>
      <w:pPr>
        <w:ind w:left="1482" w:hanging="360"/>
      </w:pPr>
    </w:lvl>
    <w:lvl w:ilvl="2" w:tplc="0426001B" w:tentative="1">
      <w:start w:val="1"/>
      <w:numFmt w:val="lowerRoman"/>
      <w:lvlText w:val="%3."/>
      <w:lvlJc w:val="right"/>
      <w:pPr>
        <w:ind w:left="2202" w:hanging="180"/>
      </w:pPr>
    </w:lvl>
    <w:lvl w:ilvl="3" w:tplc="0426000F" w:tentative="1">
      <w:start w:val="1"/>
      <w:numFmt w:val="decimal"/>
      <w:lvlText w:val="%4."/>
      <w:lvlJc w:val="left"/>
      <w:pPr>
        <w:ind w:left="2922" w:hanging="360"/>
      </w:pPr>
    </w:lvl>
    <w:lvl w:ilvl="4" w:tplc="04260019" w:tentative="1">
      <w:start w:val="1"/>
      <w:numFmt w:val="lowerLetter"/>
      <w:lvlText w:val="%5."/>
      <w:lvlJc w:val="left"/>
      <w:pPr>
        <w:ind w:left="3642" w:hanging="360"/>
      </w:pPr>
    </w:lvl>
    <w:lvl w:ilvl="5" w:tplc="0426001B" w:tentative="1">
      <w:start w:val="1"/>
      <w:numFmt w:val="lowerRoman"/>
      <w:lvlText w:val="%6."/>
      <w:lvlJc w:val="right"/>
      <w:pPr>
        <w:ind w:left="4362" w:hanging="180"/>
      </w:pPr>
    </w:lvl>
    <w:lvl w:ilvl="6" w:tplc="0426000F" w:tentative="1">
      <w:start w:val="1"/>
      <w:numFmt w:val="decimal"/>
      <w:lvlText w:val="%7."/>
      <w:lvlJc w:val="left"/>
      <w:pPr>
        <w:ind w:left="5082" w:hanging="360"/>
      </w:pPr>
    </w:lvl>
    <w:lvl w:ilvl="7" w:tplc="04260019" w:tentative="1">
      <w:start w:val="1"/>
      <w:numFmt w:val="lowerLetter"/>
      <w:lvlText w:val="%8."/>
      <w:lvlJc w:val="left"/>
      <w:pPr>
        <w:ind w:left="5802" w:hanging="360"/>
      </w:pPr>
    </w:lvl>
    <w:lvl w:ilvl="8" w:tplc="0426001B" w:tentative="1">
      <w:start w:val="1"/>
      <w:numFmt w:val="lowerRoman"/>
      <w:lvlText w:val="%9."/>
      <w:lvlJc w:val="right"/>
      <w:pPr>
        <w:ind w:left="6522" w:hanging="180"/>
      </w:pPr>
    </w:lvl>
  </w:abstractNum>
  <w:abstractNum w:abstractNumId="8" w15:restartNumberingAfterBreak="0">
    <w:nsid w:val="64D80D1F"/>
    <w:multiLevelType w:val="hybridMultilevel"/>
    <w:tmpl w:val="9A82D6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9A1CB2"/>
    <w:multiLevelType w:val="hybridMultilevel"/>
    <w:tmpl w:val="6EBA586E"/>
    <w:lvl w:ilvl="0" w:tplc="CEB452F8">
      <w:start w:val="1"/>
      <w:numFmt w:val="decimal"/>
      <w:lvlText w:val="%1."/>
      <w:lvlJc w:val="left"/>
      <w:pPr>
        <w:ind w:left="762" w:hanging="360"/>
      </w:pPr>
      <w:rPr>
        <w:rFonts w:hint="default"/>
      </w:rPr>
    </w:lvl>
    <w:lvl w:ilvl="1" w:tplc="04260019" w:tentative="1">
      <w:start w:val="1"/>
      <w:numFmt w:val="lowerLetter"/>
      <w:lvlText w:val="%2."/>
      <w:lvlJc w:val="left"/>
      <w:pPr>
        <w:ind w:left="1482" w:hanging="360"/>
      </w:pPr>
    </w:lvl>
    <w:lvl w:ilvl="2" w:tplc="0426001B" w:tentative="1">
      <w:start w:val="1"/>
      <w:numFmt w:val="lowerRoman"/>
      <w:lvlText w:val="%3."/>
      <w:lvlJc w:val="right"/>
      <w:pPr>
        <w:ind w:left="2202" w:hanging="180"/>
      </w:pPr>
    </w:lvl>
    <w:lvl w:ilvl="3" w:tplc="0426000F" w:tentative="1">
      <w:start w:val="1"/>
      <w:numFmt w:val="decimal"/>
      <w:lvlText w:val="%4."/>
      <w:lvlJc w:val="left"/>
      <w:pPr>
        <w:ind w:left="2922" w:hanging="360"/>
      </w:pPr>
    </w:lvl>
    <w:lvl w:ilvl="4" w:tplc="04260019" w:tentative="1">
      <w:start w:val="1"/>
      <w:numFmt w:val="lowerLetter"/>
      <w:lvlText w:val="%5."/>
      <w:lvlJc w:val="left"/>
      <w:pPr>
        <w:ind w:left="3642" w:hanging="360"/>
      </w:pPr>
    </w:lvl>
    <w:lvl w:ilvl="5" w:tplc="0426001B" w:tentative="1">
      <w:start w:val="1"/>
      <w:numFmt w:val="lowerRoman"/>
      <w:lvlText w:val="%6."/>
      <w:lvlJc w:val="right"/>
      <w:pPr>
        <w:ind w:left="4362" w:hanging="180"/>
      </w:pPr>
    </w:lvl>
    <w:lvl w:ilvl="6" w:tplc="0426000F" w:tentative="1">
      <w:start w:val="1"/>
      <w:numFmt w:val="decimal"/>
      <w:lvlText w:val="%7."/>
      <w:lvlJc w:val="left"/>
      <w:pPr>
        <w:ind w:left="5082" w:hanging="360"/>
      </w:pPr>
    </w:lvl>
    <w:lvl w:ilvl="7" w:tplc="04260019" w:tentative="1">
      <w:start w:val="1"/>
      <w:numFmt w:val="lowerLetter"/>
      <w:lvlText w:val="%8."/>
      <w:lvlJc w:val="left"/>
      <w:pPr>
        <w:ind w:left="5802" w:hanging="360"/>
      </w:pPr>
    </w:lvl>
    <w:lvl w:ilvl="8" w:tplc="0426001B" w:tentative="1">
      <w:start w:val="1"/>
      <w:numFmt w:val="lowerRoman"/>
      <w:lvlText w:val="%9."/>
      <w:lvlJc w:val="right"/>
      <w:pPr>
        <w:ind w:left="6522" w:hanging="180"/>
      </w:pPr>
    </w:lvl>
  </w:abstractNum>
  <w:abstractNum w:abstractNumId="10" w15:restartNumberingAfterBreak="0">
    <w:nsid w:val="735972ED"/>
    <w:multiLevelType w:val="multilevel"/>
    <w:tmpl w:val="8DDA7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8"/>
  </w:num>
  <w:num w:numId="9">
    <w:abstractNumId w:val="9"/>
  </w:num>
  <w:num w:numId="10">
    <w:abstractNumId w:val="7"/>
  </w:num>
  <w:num w:numId="11">
    <w:abstractNumId w:val="5"/>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FF"/>
    <w:rsid w:val="00004996"/>
    <w:rsid w:val="0000517D"/>
    <w:rsid w:val="00005DDD"/>
    <w:rsid w:val="000069E7"/>
    <w:rsid w:val="00014BB1"/>
    <w:rsid w:val="000172FA"/>
    <w:rsid w:val="00017406"/>
    <w:rsid w:val="000273A0"/>
    <w:rsid w:val="000351D1"/>
    <w:rsid w:val="000374AC"/>
    <w:rsid w:val="0004015B"/>
    <w:rsid w:val="000409AA"/>
    <w:rsid w:val="00040A02"/>
    <w:rsid w:val="000533BB"/>
    <w:rsid w:val="00053455"/>
    <w:rsid w:val="0006278D"/>
    <w:rsid w:val="00064CA1"/>
    <w:rsid w:val="00064F4B"/>
    <w:rsid w:val="00075333"/>
    <w:rsid w:val="00075573"/>
    <w:rsid w:val="00077852"/>
    <w:rsid w:val="00081FA0"/>
    <w:rsid w:val="00082410"/>
    <w:rsid w:val="00082E0F"/>
    <w:rsid w:val="000968D6"/>
    <w:rsid w:val="000A077C"/>
    <w:rsid w:val="000A69F3"/>
    <w:rsid w:val="000B0E58"/>
    <w:rsid w:val="000B0EA2"/>
    <w:rsid w:val="000B1B05"/>
    <w:rsid w:val="000C3D13"/>
    <w:rsid w:val="000C7EFF"/>
    <w:rsid w:val="000D508B"/>
    <w:rsid w:val="000D7FD6"/>
    <w:rsid w:val="000E092B"/>
    <w:rsid w:val="000E67F7"/>
    <w:rsid w:val="000F039A"/>
    <w:rsid w:val="000F0D4D"/>
    <w:rsid w:val="00106765"/>
    <w:rsid w:val="001121D0"/>
    <w:rsid w:val="00115578"/>
    <w:rsid w:val="001164FA"/>
    <w:rsid w:val="001279B9"/>
    <w:rsid w:val="00141FD1"/>
    <w:rsid w:val="00143E6B"/>
    <w:rsid w:val="00146F93"/>
    <w:rsid w:val="00147972"/>
    <w:rsid w:val="00151A8E"/>
    <w:rsid w:val="00152741"/>
    <w:rsid w:val="00161D65"/>
    <w:rsid w:val="00166393"/>
    <w:rsid w:val="0016658F"/>
    <w:rsid w:val="001719CC"/>
    <w:rsid w:val="00173EDC"/>
    <w:rsid w:val="00180E8E"/>
    <w:rsid w:val="00183A07"/>
    <w:rsid w:val="00192D29"/>
    <w:rsid w:val="00195761"/>
    <w:rsid w:val="001A0ECC"/>
    <w:rsid w:val="001A479C"/>
    <w:rsid w:val="001B0C3C"/>
    <w:rsid w:val="001B4CC7"/>
    <w:rsid w:val="001B70C5"/>
    <w:rsid w:val="001C677B"/>
    <w:rsid w:val="001C6A4F"/>
    <w:rsid w:val="001C6C02"/>
    <w:rsid w:val="001D40F4"/>
    <w:rsid w:val="001D744F"/>
    <w:rsid w:val="001E1BED"/>
    <w:rsid w:val="001E719A"/>
    <w:rsid w:val="001F097B"/>
    <w:rsid w:val="001F39A7"/>
    <w:rsid w:val="001F4EB5"/>
    <w:rsid w:val="001F7009"/>
    <w:rsid w:val="00200061"/>
    <w:rsid w:val="00201021"/>
    <w:rsid w:val="00201195"/>
    <w:rsid w:val="002031C8"/>
    <w:rsid w:val="002053E0"/>
    <w:rsid w:val="002163F3"/>
    <w:rsid w:val="00217183"/>
    <w:rsid w:val="002345D2"/>
    <w:rsid w:val="00236044"/>
    <w:rsid w:val="00240E7D"/>
    <w:rsid w:val="00244A38"/>
    <w:rsid w:val="0024768C"/>
    <w:rsid w:val="00254B85"/>
    <w:rsid w:val="00257B87"/>
    <w:rsid w:val="00263E82"/>
    <w:rsid w:val="00272454"/>
    <w:rsid w:val="0027478C"/>
    <w:rsid w:val="00277AAD"/>
    <w:rsid w:val="002B0B65"/>
    <w:rsid w:val="002B2A4E"/>
    <w:rsid w:val="002B3A3F"/>
    <w:rsid w:val="002B790B"/>
    <w:rsid w:val="002C568F"/>
    <w:rsid w:val="002D3D35"/>
    <w:rsid w:val="002D760C"/>
    <w:rsid w:val="002D78CD"/>
    <w:rsid w:val="002E25C1"/>
    <w:rsid w:val="002E63C0"/>
    <w:rsid w:val="002F26B0"/>
    <w:rsid w:val="00304C06"/>
    <w:rsid w:val="003106E4"/>
    <w:rsid w:val="003127D2"/>
    <w:rsid w:val="00324AF0"/>
    <w:rsid w:val="0033186D"/>
    <w:rsid w:val="0034513B"/>
    <w:rsid w:val="00345BCA"/>
    <w:rsid w:val="00346CA1"/>
    <w:rsid w:val="00347FCE"/>
    <w:rsid w:val="00364CBA"/>
    <w:rsid w:val="00365D46"/>
    <w:rsid w:val="00366251"/>
    <w:rsid w:val="0036749B"/>
    <w:rsid w:val="0037036B"/>
    <w:rsid w:val="00370F7D"/>
    <w:rsid w:val="00373FC4"/>
    <w:rsid w:val="003757F0"/>
    <w:rsid w:val="003A2656"/>
    <w:rsid w:val="003A33ED"/>
    <w:rsid w:val="003A6202"/>
    <w:rsid w:val="003D1CBD"/>
    <w:rsid w:val="003D3F0F"/>
    <w:rsid w:val="003F0F24"/>
    <w:rsid w:val="003F168A"/>
    <w:rsid w:val="00410CB1"/>
    <w:rsid w:val="004257E5"/>
    <w:rsid w:val="004258DE"/>
    <w:rsid w:val="00432656"/>
    <w:rsid w:val="0044150B"/>
    <w:rsid w:val="004424C2"/>
    <w:rsid w:val="00443B70"/>
    <w:rsid w:val="00450C7B"/>
    <w:rsid w:val="004566B2"/>
    <w:rsid w:val="00462AF4"/>
    <w:rsid w:val="00465F75"/>
    <w:rsid w:val="0046624B"/>
    <w:rsid w:val="00474412"/>
    <w:rsid w:val="00475636"/>
    <w:rsid w:val="004801A6"/>
    <w:rsid w:val="004873ED"/>
    <w:rsid w:val="004A3AD2"/>
    <w:rsid w:val="004B126D"/>
    <w:rsid w:val="004D5B28"/>
    <w:rsid w:val="004E036B"/>
    <w:rsid w:val="004F3456"/>
    <w:rsid w:val="0051405F"/>
    <w:rsid w:val="00514A64"/>
    <w:rsid w:val="005206FC"/>
    <w:rsid w:val="00526DD3"/>
    <w:rsid w:val="00527753"/>
    <w:rsid w:val="0053381E"/>
    <w:rsid w:val="00553A39"/>
    <w:rsid w:val="00557B38"/>
    <w:rsid w:val="0056188E"/>
    <w:rsid w:val="00563335"/>
    <w:rsid w:val="00564577"/>
    <w:rsid w:val="00576CD9"/>
    <w:rsid w:val="00584370"/>
    <w:rsid w:val="00594E21"/>
    <w:rsid w:val="005A5778"/>
    <w:rsid w:val="005B6E54"/>
    <w:rsid w:val="005C18B6"/>
    <w:rsid w:val="005C1D95"/>
    <w:rsid w:val="005C290F"/>
    <w:rsid w:val="005C3469"/>
    <w:rsid w:val="005C5BD0"/>
    <w:rsid w:val="005C7EBA"/>
    <w:rsid w:val="005E3C39"/>
    <w:rsid w:val="005E5E1D"/>
    <w:rsid w:val="005F61D8"/>
    <w:rsid w:val="00610E94"/>
    <w:rsid w:val="00621F6B"/>
    <w:rsid w:val="00625C83"/>
    <w:rsid w:val="0062658A"/>
    <w:rsid w:val="00640012"/>
    <w:rsid w:val="0064014C"/>
    <w:rsid w:val="0064059C"/>
    <w:rsid w:val="00640752"/>
    <w:rsid w:val="00641D91"/>
    <w:rsid w:val="00654B81"/>
    <w:rsid w:val="006563C4"/>
    <w:rsid w:val="00657C0E"/>
    <w:rsid w:val="00660A8B"/>
    <w:rsid w:val="0066316C"/>
    <w:rsid w:val="00683DEA"/>
    <w:rsid w:val="00693FD8"/>
    <w:rsid w:val="006A0462"/>
    <w:rsid w:val="006B61F6"/>
    <w:rsid w:val="006C025C"/>
    <w:rsid w:val="006C19A6"/>
    <w:rsid w:val="006C2817"/>
    <w:rsid w:val="006D194D"/>
    <w:rsid w:val="006D7400"/>
    <w:rsid w:val="006E7776"/>
    <w:rsid w:val="006F2CD3"/>
    <w:rsid w:val="006F5013"/>
    <w:rsid w:val="006F5FFB"/>
    <w:rsid w:val="00707365"/>
    <w:rsid w:val="00710AB1"/>
    <w:rsid w:val="007149FF"/>
    <w:rsid w:val="00715503"/>
    <w:rsid w:val="00716565"/>
    <w:rsid w:val="00720F90"/>
    <w:rsid w:val="00725E09"/>
    <w:rsid w:val="00727A17"/>
    <w:rsid w:val="007307B8"/>
    <w:rsid w:val="00735C7A"/>
    <w:rsid w:val="007438AD"/>
    <w:rsid w:val="0075350C"/>
    <w:rsid w:val="00757368"/>
    <w:rsid w:val="00760C58"/>
    <w:rsid w:val="00760E1C"/>
    <w:rsid w:val="0076233E"/>
    <w:rsid w:val="00765C0C"/>
    <w:rsid w:val="007709FE"/>
    <w:rsid w:val="00772216"/>
    <w:rsid w:val="00783E69"/>
    <w:rsid w:val="00790909"/>
    <w:rsid w:val="00792C0B"/>
    <w:rsid w:val="00794596"/>
    <w:rsid w:val="00795371"/>
    <w:rsid w:val="0079752E"/>
    <w:rsid w:val="007A1E83"/>
    <w:rsid w:val="007A42BA"/>
    <w:rsid w:val="007A6D61"/>
    <w:rsid w:val="007C4944"/>
    <w:rsid w:val="007D7232"/>
    <w:rsid w:val="007E0406"/>
    <w:rsid w:val="007E0A11"/>
    <w:rsid w:val="007E1561"/>
    <w:rsid w:val="007E187D"/>
    <w:rsid w:val="007E4D57"/>
    <w:rsid w:val="007E6CB6"/>
    <w:rsid w:val="007F14C3"/>
    <w:rsid w:val="00807074"/>
    <w:rsid w:val="00810C01"/>
    <w:rsid w:val="00816740"/>
    <w:rsid w:val="00816D28"/>
    <w:rsid w:val="00820979"/>
    <w:rsid w:val="00824487"/>
    <w:rsid w:val="00832712"/>
    <w:rsid w:val="00837182"/>
    <w:rsid w:val="00840B22"/>
    <w:rsid w:val="00853938"/>
    <w:rsid w:val="008548A0"/>
    <w:rsid w:val="00856A3C"/>
    <w:rsid w:val="008744B6"/>
    <w:rsid w:val="00874B66"/>
    <w:rsid w:val="008770C4"/>
    <w:rsid w:val="008852C0"/>
    <w:rsid w:val="00891831"/>
    <w:rsid w:val="00894DFB"/>
    <w:rsid w:val="008B0A50"/>
    <w:rsid w:val="008C4117"/>
    <w:rsid w:val="008D53F1"/>
    <w:rsid w:val="008E359E"/>
    <w:rsid w:val="0091081B"/>
    <w:rsid w:val="00916B6C"/>
    <w:rsid w:val="009204B0"/>
    <w:rsid w:val="009219A3"/>
    <w:rsid w:val="00922C1D"/>
    <w:rsid w:val="009240C7"/>
    <w:rsid w:val="00924482"/>
    <w:rsid w:val="00925E81"/>
    <w:rsid w:val="00930CF7"/>
    <w:rsid w:val="009337D1"/>
    <w:rsid w:val="00937544"/>
    <w:rsid w:val="00937CB7"/>
    <w:rsid w:val="00940B48"/>
    <w:rsid w:val="00947272"/>
    <w:rsid w:val="00953E4C"/>
    <w:rsid w:val="009570C9"/>
    <w:rsid w:val="00961FF2"/>
    <w:rsid w:val="009735B0"/>
    <w:rsid w:val="00977902"/>
    <w:rsid w:val="00984D79"/>
    <w:rsid w:val="009873D2"/>
    <w:rsid w:val="00991334"/>
    <w:rsid w:val="00993F6E"/>
    <w:rsid w:val="00994CC4"/>
    <w:rsid w:val="00995543"/>
    <w:rsid w:val="00997242"/>
    <w:rsid w:val="009A685B"/>
    <w:rsid w:val="009B00DE"/>
    <w:rsid w:val="009B0565"/>
    <w:rsid w:val="009B0C9E"/>
    <w:rsid w:val="009B3C3C"/>
    <w:rsid w:val="009B5F38"/>
    <w:rsid w:val="009C51FE"/>
    <w:rsid w:val="009C59B9"/>
    <w:rsid w:val="009D2315"/>
    <w:rsid w:val="009E0620"/>
    <w:rsid w:val="009E6038"/>
    <w:rsid w:val="009F11D7"/>
    <w:rsid w:val="009F1281"/>
    <w:rsid w:val="009F2F33"/>
    <w:rsid w:val="009F5B75"/>
    <w:rsid w:val="00A04D1A"/>
    <w:rsid w:val="00A0584A"/>
    <w:rsid w:val="00A067D7"/>
    <w:rsid w:val="00A24E0C"/>
    <w:rsid w:val="00A47B5C"/>
    <w:rsid w:val="00A572D1"/>
    <w:rsid w:val="00A7615F"/>
    <w:rsid w:val="00A7664F"/>
    <w:rsid w:val="00A779FF"/>
    <w:rsid w:val="00A869B1"/>
    <w:rsid w:val="00A97B4C"/>
    <w:rsid w:val="00AA02E7"/>
    <w:rsid w:val="00AB2DC6"/>
    <w:rsid w:val="00AB7D9C"/>
    <w:rsid w:val="00AC32C1"/>
    <w:rsid w:val="00AD467A"/>
    <w:rsid w:val="00AF798F"/>
    <w:rsid w:val="00B02660"/>
    <w:rsid w:val="00B03531"/>
    <w:rsid w:val="00B10B2D"/>
    <w:rsid w:val="00B10B4B"/>
    <w:rsid w:val="00B12C40"/>
    <w:rsid w:val="00B30574"/>
    <w:rsid w:val="00B35C88"/>
    <w:rsid w:val="00B36745"/>
    <w:rsid w:val="00B37C42"/>
    <w:rsid w:val="00B463F5"/>
    <w:rsid w:val="00B46732"/>
    <w:rsid w:val="00B51C2B"/>
    <w:rsid w:val="00B56F08"/>
    <w:rsid w:val="00B65E3F"/>
    <w:rsid w:val="00B73E24"/>
    <w:rsid w:val="00B77A1A"/>
    <w:rsid w:val="00B81E78"/>
    <w:rsid w:val="00B821A6"/>
    <w:rsid w:val="00B908D1"/>
    <w:rsid w:val="00B90F08"/>
    <w:rsid w:val="00BB1CF0"/>
    <w:rsid w:val="00BB2B42"/>
    <w:rsid w:val="00BB49EB"/>
    <w:rsid w:val="00BD143C"/>
    <w:rsid w:val="00BE3AD1"/>
    <w:rsid w:val="00BF024B"/>
    <w:rsid w:val="00BF1C96"/>
    <w:rsid w:val="00BF3228"/>
    <w:rsid w:val="00BF6670"/>
    <w:rsid w:val="00BF682E"/>
    <w:rsid w:val="00C10909"/>
    <w:rsid w:val="00C1428C"/>
    <w:rsid w:val="00C27AA0"/>
    <w:rsid w:val="00C30EA4"/>
    <w:rsid w:val="00C420D3"/>
    <w:rsid w:val="00C436CF"/>
    <w:rsid w:val="00C50E90"/>
    <w:rsid w:val="00C522B3"/>
    <w:rsid w:val="00C60259"/>
    <w:rsid w:val="00C652D8"/>
    <w:rsid w:val="00C738C8"/>
    <w:rsid w:val="00C87614"/>
    <w:rsid w:val="00C92AC4"/>
    <w:rsid w:val="00C93646"/>
    <w:rsid w:val="00CA4BA2"/>
    <w:rsid w:val="00CC065A"/>
    <w:rsid w:val="00CC2390"/>
    <w:rsid w:val="00CD537F"/>
    <w:rsid w:val="00CF09FD"/>
    <w:rsid w:val="00CF7372"/>
    <w:rsid w:val="00CF7AE9"/>
    <w:rsid w:val="00D02ABC"/>
    <w:rsid w:val="00D1182C"/>
    <w:rsid w:val="00D12BC1"/>
    <w:rsid w:val="00D16102"/>
    <w:rsid w:val="00D16529"/>
    <w:rsid w:val="00D21343"/>
    <w:rsid w:val="00D21A69"/>
    <w:rsid w:val="00D238E9"/>
    <w:rsid w:val="00D24814"/>
    <w:rsid w:val="00D24AFE"/>
    <w:rsid w:val="00D3436A"/>
    <w:rsid w:val="00D36C00"/>
    <w:rsid w:val="00D45360"/>
    <w:rsid w:val="00D649BE"/>
    <w:rsid w:val="00D64E93"/>
    <w:rsid w:val="00D87C81"/>
    <w:rsid w:val="00DB4E22"/>
    <w:rsid w:val="00DB696D"/>
    <w:rsid w:val="00DC4A6B"/>
    <w:rsid w:val="00DD1337"/>
    <w:rsid w:val="00DD5409"/>
    <w:rsid w:val="00DD5D3A"/>
    <w:rsid w:val="00DD7DEB"/>
    <w:rsid w:val="00DF0A68"/>
    <w:rsid w:val="00DF1B2F"/>
    <w:rsid w:val="00E010CF"/>
    <w:rsid w:val="00E0334C"/>
    <w:rsid w:val="00E1674D"/>
    <w:rsid w:val="00E203EE"/>
    <w:rsid w:val="00E206EE"/>
    <w:rsid w:val="00E2250F"/>
    <w:rsid w:val="00E269B8"/>
    <w:rsid w:val="00E422D3"/>
    <w:rsid w:val="00E46100"/>
    <w:rsid w:val="00E57B17"/>
    <w:rsid w:val="00E6297E"/>
    <w:rsid w:val="00E656D7"/>
    <w:rsid w:val="00E729CF"/>
    <w:rsid w:val="00E7750C"/>
    <w:rsid w:val="00E85802"/>
    <w:rsid w:val="00E9133D"/>
    <w:rsid w:val="00EA1A2E"/>
    <w:rsid w:val="00EA2004"/>
    <w:rsid w:val="00EA5047"/>
    <w:rsid w:val="00EB2D19"/>
    <w:rsid w:val="00EB597F"/>
    <w:rsid w:val="00ED6785"/>
    <w:rsid w:val="00ED68C3"/>
    <w:rsid w:val="00ED6D2F"/>
    <w:rsid w:val="00ED718F"/>
    <w:rsid w:val="00EE3988"/>
    <w:rsid w:val="00EF5296"/>
    <w:rsid w:val="00EF74BB"/>
    <w:rsid w:val="00EF7A3D"/>
    <w:rsid w:val="00F03546"/>
    <w:rsid w:val="00F045B9"/>
    <w:rsid w:val="00F17239"/>
    <w:rsid w:val="00F201CD"/>
    <w:rsid w:val="00F23F09"/>
    <w:rsid w:val="00F24776"/>
    <w:rsid w:val="00F31BFB"/>
    <w:rsid w:val="00F36E47"/>
    <w:rsid w:val="00F50908"/>
    <w:rsid w:val="00F619CA"/>
    <w:rsid w:val="00F66E5F"/>
    <w:rsid w:val="00F87B92"/>
    <w:rsid w:val="00F9525F"/>
    <w:rsid w:val="00FA0A55"/>
    <w:rsid w:val="00FA184B"/>
    <w:rsid w:val="00FA46A0"/>
    <w:rsid w:val="00FA4CC9"/>
    <w:rsid w:val="00FA5563"/>
    <w:rsid w:val="00FB4D07"/>
    <w:rsid w:val="00FC7297"/>
    <w:rsid w:val="00FC7C0D"/>
    <w:rsid w:val="00FD229D"/>
    <w:rsid w:val="00FD2D00"/>
    <w:rsid w:val="00FD5EBE"/>
    <w:rsid w:val="00FD61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7036"/>
  <w15:docId w15:val="{B3FF5A58-C518-4042-B924-904A8799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lv-LV" w:eastAsia="lv-LV"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2658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tblPr>
      <w:tblStyleRowBandSize w:val="1"/>
      <w:tblStyleColBandSize w:val="1"/>
      <w:tblCellMar>
        <w:top w:w="30" w:type="dxa"/>
        <w:left w:w="30" w:type="dxa"/>
        <w:bottom w:w="30" w:type="dxa"/>
        <w:right w:w="30" w:type="dxa"/>
      </w:tblCellMar>
    </w:tblPr>
  </w:style>
  <w:style w:type="table" w:customStyle="1" w:styleId="a1">
    <w:basedOn w:val="TableNormal"/>
    <w:tblPr>
      <w:tblStyleRowBandSize w:val="1"/>
      <w:tblStyleColBandSize w:val="1"/>
      <w:tblCellMar>
        <w:top w:w="30" w:type="dxa"/>
        <w:left w:w="30" w:type="dxa"/>
        <w:bottom w:w="30" w:type="dxa"/>
        <w:right w:w="30" w:type="dxa"/>
      </w:tblCellMar>
    </w:tblPr>
  </w:style>
  <w:style w:type="table" w:customStyle="1" w:styleId="a2">
    <w:basedOn w:val="TableNormal"/>
    <w:tblPr>
      <w:tblStyleRowBandSize w:val="1"/>
      <w:tblStyleColBandSize w:val="1"/>
      <w:tblCellMar>
        <w:top w:w="24" w:type="dxa"/>
        <w:left w:w="24" w:type="dxa"/>
        <w:bottom w:w="24" w:type="dxa"/>
        <w:right w:w="24" w:type="dxa"/>
      </w:tblCellMar>
    </w:tblPr>
  </w:style>
  <w:style w:type="table" w:customStyle="1" w:styleId="a3">
    <w:basedOn w:val="TableNormal"/>
    <w:tblPr>
      <w:tblStyleRowBandSize w:val="1"/>
      <w:tblStyleColBandSize w:val="1"/>
      <w:tblCellMar>
        <w:top w:w="30" w:type="dxa"/>
        <w:left w:w="30" w:type="dxa"/>
        <w:bottom w:w="30" w:type="dxa"/>
        <w:right w:w="30" w:type="dxa"/>
      </w:tblCellMar>
    </w:tblPr>
  </w:style>
  <w:style w:type="table" w:customStyle="1" w:styleId="a4">
    <w:basedOn w:val="TableNormal"/>
    <w:tblPr>
      <w:tblStyleRowBandSize w:val="1"/>
      <w:tblStyleColBandSize w:val="1"/>
      <w:tblCellMar>
        <w:top w:w="30" w:type="dxa"/>
        <w:left w:w="30" w:type="dxa"/>
        <w:bottom w:w="30" w:type="dxa"/>
        <w:right w:w="30" w:type="dxa"/>
      </w:tblCellMar>
    </w:tblPr>
  </w:style>
  <w:style w:type="table" w:customStyle="1" w:styleId="a5">
    <w:basedOn w:val="TableNormal"/>
    <w:tblPr>
      <w:tblStyleRowBandSize w:val="1"/>
      <w:tblStyleColBandSize w:val="1"/>
      <w:tblCellMar>
        <w:top w:w="24" w:type="dxa"/>
        <w:left w:w="24" w:type="dxa"/>
        <w:bottom w:w="24" w:type="dxa"/>
        <w:right w:w="24" w:type="dxa"/>
      </w:tblCellMar>
    </w:tblPr>
  </w:style>
  <w:style w:type="table" w:customStyle="1" w:styleId="a6">
    <w:basedOn w:val="TableNormal"/>
    <w:tblPr>
      <w:tblStyleRowBandSize w:val="1"/>
      <w:tblStyleColBandSize w:val="1"/>
      <w:tblCellMar>
        <w:top w:w="30" w:type="dxa"/>
        <w:left w:w="30" w:type="dxa"/>
        <w:bottom w:w="30" w:type="dxa"/>
        <w:right w:w="30" w:type="dxa"/>
      </w:tblCellMar>
    </w:tblPr>
  </w:style>
  <w:style w:type="table" w:customStyle="1" w:styleId="a7">
    <w:basedOn w:val="TableNormal"/>
    <w:tblPr>
      <w:tblStyleRowBandSize w:val="1"/>
      <w:tblStyleColBandSize w:val="1"/>
      <w:tblCellMar>
        <w:top w:w="30" w:type="dxa"/>
        <w:left w:w="30" w:type="dxa"/>
        <w:bottom w:w="30" w:type="dxa"/>
        <w:right w:w="30" w:type="dxa"/>
      </w:tblCellMar>
    </w:tblPr>
  </w:style>
  <w:style w:type="character" w:styleId="Hyperlink">
    <w:name w:val="Hyperlink"/>
    <w:basedOn w:val="DefaultParagraphFont"/>
    <w:uiPriority w:val="99"/>
    <w:unhideWhenUsed/>
    <w:rsid w:val="00EF5296"/>
    <w:rPr>
      <w:color w:val="0000FF" w:themeColor="hyperlink"/>
      <w:u w:val="single"/>
    </w:rPr>
  </w:style>
  <w:style w:type="paragraph" w:styleId="Header">
    <w:name w:val="header"/>
    <w:basedOn w:val="Normal"/>
    <w:link w:val="HeaderChar"/>
    <w:uiPriority w:val="99"/>
    <w:unhideWhenUsed/>
    <w:rsid w:val="009F11D7"/>
    <w:pPr>
      <w:tabs>
        <w:tab w:val="center" w:pos="4153"/>
        <w:tab w:val="right" w:pos="8306"/>
      </w:tabs>
    </w:pPr>
  </w:style>
  <w:style w:type="character" w:customStyle="1" w:styleId="HeaderChar">
    <w:name w:val="Header Char"/>
    <w:basedOn w:val="DefaultParagraphFont"/>
    <w:link w:val="Header"/>
    <w:uiPriority w:val="99"/>
    <w:rsid w:val="009F11D7"/>
  </w:style>
  <w:style w:type="paragraph" w:styleId="Footer">
    <w:name w:val="footer"/>
    <w:basedOn w:val="Normal"/>
    <w:link w:val="FooterChar"/>
    <w:uiPriority w:val="99"/>
    <w:unhideWhenUsed/>
    <w:rsid w:val="009F11D7"/>
    <w:pPr>
      <w:tabs>
        <w:tab w:val="center" w:pos="4153"/>
        <w:tab w:val="right" w:pos="8306"/>
      </w:tabs>
    </w:pPr>
  </w:style>
  <w:style w:type="character" w:customStyle="1" w:styleId="FooterChar">
    <w:name w:val="Footer Char"/>
    <w:basedOn w:val="DefaultParagraphFont"/>
    <w:link w:val="Footer"/>
    <w:uiPriority w:val="99"/>
    <w:rsid w:val="009F11D7"/>
  </w:style>
  <w:style w:type="paragraph" w:customStyle="1" w:styleId="Standard">
    <w:name w:val="Standard"/>
    <w:rsid w:val="00916B6C"/>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pPr>
    <w:rPr>
      <w:rFonts w:eastAsia="Calibri"/>
      <w:color w:val="auto"/>
      <w:kern w:val="3"/>
      <w:sz w:val="28"/>
      <w:szCs w:val="22"/>
      <w:lang w:eastAsia="en-US"/>
    </w:rPr>
  </w:style>
  <w:style w:type="numbering" w:customStyle="1" w:styleId="WWNum15">
    <w:name w:val="WWNum15"/>
    <w:rsid w:val="00916B6C"/>
    <w:pPr>
      <w:numPr>
        <w:numId w:val="2"/>
      </w:numPr>
    </w:pPr>
  </w:style>
  <w:style w:type="numbering" w:customStyle="1" w:styleId="WWNum12">
    <w:name w:val="WWNum12"/>
    <w:rsid w:val="00916B6C"/>
    <w:pPr>
      <w:numPr>
        <w:numId w:val="4"/>
      </w:numPr>
    </w:pPr>
  </w:style>
  <w:style w:type="paragraph" w:customStyle="1" w:styleId="TableContents">
    <w:name w:val="Table Contents"/>
    <w:basedOn w:val="Normal"/>
    <w:rsid w:val="00B10B2D"/>
    <w:pPr>
      <w:suppressLineNumbers/>
      <w:pBdr>
        <w:top w:val="none" w:sz="0" w:space="0" w:color="auto"/>
        <w:left w:val="none" w:sz="0" w:space="0" w:color="auto"/>
        <w:bottom w:val="none" w:sz="0" w:space="0" w:color="auto"/>
        <w:right w:val="none" w:sz="0" w:space="0" w:color="auto"/>
        <w:between w:val="none" w:sz="0" w:space="0" w:color="auto"/>
      </w:pBdr>
      <w:suppressAutoHyphens/>
      <w:autoSpaceDN w:val="0"/>
    </w:pPr>
    <w:rPr>
      <w:rFonts w:eastAsia="Calibri"/>
      <w:color w:val="auto"/>
      <w:kern w:val="3"/>
      <w:lang w:eastAsia="ar-SA"/>
    </w:rPr>
  </w:style>
  <w:style w:type="paragraph" w:styleId="BalloonText">
    <w:name w:val="Balloon Text"/>
    <w:basedOn w:val="Normal"/>
    <w:link w:val="BalloonTextChar"/>
    <w:uiPriority w:val="99"/>
    <w:semiHidden/>
    <w:unhideWhenUsed/>
    <w:rsid w:val="00F87B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B92"/>
    <w:rPr>
      <w:rFonts w:ascii="Segoe UI" w:hAnsi="Segoe UI" w:cs="Segoe UI"/>
      <w:sz w:val="18"/>
      <w:szCs w:val="18"/>
    </w:rPr>
  </w:style>
  <w:style w:type="table" w:styleId="TableGrid">
    <w:name w:val="Table Grid"/>
    <w:basedOn w:val="TableNormal"/>
    <w:uiPriority w:val="59"/>
    <w:rsid w:val="000D7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25C"/>
    <w:pPr>
      <w:ind w:left="720"/>
      <w:contextualSpacing/>
    </w:pPr>
  </w:style>
  <w:style w:type="character" w:styleId="CommentReference">
    <w:name w:val="annotation reference"/>
    <w:basedOn w:val="DefaultParagraphFont"/>
    <w:uiPriority w:val="99"/>
    <w:semiHidden/>
    <w:unhideWhenUsed/>
    <w:rsid w:val="00017406"/>
    <w:rPr>
      <w:sz w:val="16"/>
      <w:szCs w:val="16"/>
    </w:rPr>
  </w:style>
  <w:style w:type="paragraph" w:styleId="CommentText">
    <w:name w:val="annotation text"/>
    <w:basedOn w:val="Normal"/>
    <w:link w:val="CommentTextChar"/>
    <w:uiPriority w:val="99"/>
    <w:semiHidden/>
    <w:unhideWhenUsed/>
    <w:rsid w:val="00017406"/>
    <w:rPr>
      <w:sz w:val="20"/>
      <w:szCs w:val="20"/>
    </w:rPr>
  </w:style>
  <w:style w:type="character" w:customStyle="1" w:styleId="CommentTextChar">
    <w:name w:val="Comment Text Char"/>
    <w:basedOn w:val="DefaultParagraphFont"/>
    <w:link w:val="CommentText"/>
    <w:uiPriority w:val="99"/>
    <w:semiHidden/>
    <w:rsid w:val="00017406"/>
    <w:rPr>
      <w:sz w:val="20"/>
      <w:szCs w:val="20"/>
    </w:rPr>
  </w:style>
  <w:style w:type="paragraph" w:styleId="CommentSubject">
    <w:name w:val="annotation subject"/>
    <w:basedOn w:val="CommentText"/>
    <w:next w:val="CommentText"/>
    <w:link w:val="CommentSubjectChar"/>
    <w:uiPriority w:val="99"/>
    <w:semiHidden/>
    <w:unhideWhenUsed/>
    <w:rsid w:val="00017406"/>
    <w:rPr>
      <w:b/>
      <w:bCs/>
    </w:rPr>
  </w:style>
  <w:style w:type="character" w:customStyle="1" w:styleId="CommentSubjectChar">
    <w:name w:val="Comment Subject Char"/>
    <w:basedOn w:val="CommentTextChar"/>
    <w:link w:val="CommentSubject"/>
    <w:uiPriority w:val="99"/>
    <w:semiHidden/>
    <w:rsid w:val="00017406"/>
    <w:rPr>
      <w:b/>
      <w:bCs/>
      <w:sz w:val="20"/>
      <w:szCs w:val="20"/>
    </w:rPr>
  </w:style>
  <w:style w:type="character" w:styleId="Strong">
    <w:name w:val="Strong"/>
    <w:basedOn w:val="DefaultParagraphFont"/>
    <w:uiPriority w:val="22"/>
    <w:qFormat/>
    <w:rsid w:val="002E25C1"/>
    <w:rPr>
      <w:b/>
      <w:bCs/>
    </w:rPr>
  </w:style>
  <w:style w:type="paragraph" w:styleId="FootnoteText">
    <w:name w:val="footnote text"/>
    <w:basedOn w:val="Normal"/>
    <w:link w:val="FootnoteTextChar"/>
    <w:uiPriority w:val="99"/>
    <w:semiHidden/>
    <w:rsid w:val="002E25C1"/>
    <w:pPr>
      <w:pBdr>
        <w:top w:val="none" w:sz="0" w:space="0" w:color="auto"/>
        <w:left w:val="none" w:sz="0" w:space="0" w:color="auto"/>
        <w:bottom w:val="none" w:sz="0" w:space="0" w:color="auto"/>
        <w:right w:val="none" w:sz="0" w:space="0" w:color="auto"/>
        <w:between w:val="none" w:sz="0" w:space="0" w:color="auto"/>
      </w:pBdr>
    </w:pPr>
    <w:rPr>
      <w:color w:val="auto"/>
      <w:sz w:val="20"/>
      <w:szCs w:val="20"/>
      <w:lang w:val="en-GB" w:eastAsia="en-US"/>
    </w:rPr>
  </w:style>
  <w:style w:type="character" w:customStyle="1" w:styleId="FootnoteTextChar">
    <w:name w:val="Footnote Text Char"/>
    <w:basedOn w:val="DefaultParagraphFont"/>
    <w:link w:val="FootnoteText"/>
    <w:uiPriority w:val="99"/>
    <w:semiHidden/>
    <w:rsid w:val="002E25C1"/>
    <w:rPr>
      <w:color w:val="auto"/>
      <w:sz w:val="20"/>
      <w:szCs w:val="20"/>
      <w:lang w:val="en-GB" w:eastAsia="en-US"/>
    </w:rPr>
  </w:style>
  <w:style w:type="character" w:styleId="FootnoteReference">
    <w:name w:val="footnote reference"/>
    <w:basedOn w:val="DefaultParagraphFont"/>
    <w:uiPriority w:val="99"/>
    <w:semiHidden/>
    <w:unhideWhenUsed/>
    <w:rsid w:val="002E25C1"/>
    <w:rPr>
      <w:vertAlign w:val="superscript"/>
    </w:rPr>
  </w:style>
  <w:style w:type="paragraph" w:styleId="NormalWeb">
    <w:name w:val="Normal (Web)"/>
    <w:basedOn w:val="Normal"/>
    <w:uiPriority w:val="99"/>
    <w:unhideWhenUsed/>
    <w:rsid w:val="002E25C1"/>
    <w:pPr>
      <w:pBdr>
        <w:top w:val="none" w:sz="0" w:space="0" w:color="auto"/>
        <w:left w:val="none" w:sz="0" w:space="0" w:color="auto"/>
        <w:bottom w:val="none" w:sz="0" w:space="0" w:color="auto"/>
        <w:right w:val="none" w:sz="0" w:space="0" w:color="auto"/>
        <w:between w:val="none" w:sz="0" w:space="0" w:color="auto"/>
      </w:pBdr>
      <w:spacing w:after="160" w:line="259" w:lineRule="auto"/>
    </w:pPr>
    <w:rPr>
      <w:rFonts w:eastAsiaTheme="minorHAnsi"/>
      <w:color w:val="auto"/>
      <w:lang w:eastAsia="en-US"/>
    </w:rPr>
  </w:style>
  <w:style w:type="character" w:styleId="Emphasis">
    <w:name w:val="Emphasis"/>
    <w:basedOn w:val="DefaultParagraphFont"/>
    <w:uiPriority w:val="20"/>
    <w:qFormat/>
    <w:rsid w:val="000B0EA2"/>
    <w:rPr>
      <w:i/>
      <w:iCs/>
    </w:rPr>
  </w:style>
  <w:style w:type="paragraph" w:customStyle="1" w:styleId="tv213">
    <w:name w:val="tv213"/>
    <w:basedOn w:val="Normal"/>
    <w:rsid w:val="000F0D4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EndnoteText">
    <w:name w:val="endnote text"/>
    <w:basedOn w:val="Normal"/>
    <w:link w:val="EndnoteTextChar"/>
    <w:uiPriority w:val="99"/>
    <w:semiHidden/>
    <w:unhideWhenUsed/>
    <w:rsid w:val="007E0406"/>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0"/>
      <w:lang w:eastAsia="en-US"/>
    </w:rPr>
  </w:style>
  <w:style w:type="character" w:customStyle="1" w:styleId="EndnoteTextChar">
    <w:name w:val="Endnote Text Char"/>
    <w:basedOn w:val="DefaultParagraphFont"/>
    <w:link w:val="EndnoteText"/>
    <w:uiPriority w:val="99"/>
    <w:semiHidden/>
    <w:rsid w:val="007E0406"/>
    <w:rPr>
      <w:rFonts w:asciiTheme="minorHAnsi" w:eastAsiaTheme="minorHAnsi" w:hAnsiTheme="minorHAnsi" w:cstheme="minorBidi"/>
      <w:color w:val="auto"/>
      <w:sz w:val="20"/>
      <w:szCs w:val="20"/>
      <w:lang w:eastAsia="en-US"/>
    </w:rPr>
  </w:style>
  <w:style w:type="character" w:styleId="EndnoteReference">
    <w:name w:val="endnote reference"/>
    <w:basedOn w:val="DefaultParagraphFont"/>
    <w:uiPriority w:val="99"/>
    <w:semiHidden/>
    <w:unhideWhenUsed/>
    <w:rsid w:val="007E04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55696">
      <w:bodyDiv w:val="1"/>
      <w:marLeft w:val="0"/>
      <w:marRight w:val="0"/>
      <w:marTop w:val="0"/>
      <w:marBottom w:val="0"/>
      <w:divBdr>
        <w:top w:val="none" w:sz="0" w:space="0" w:color="auto"/>
        <w:left w:val="none" w:sz="0" w:space="0" w:color="auto"/>
        <w:bottom w:val="none" w:sz="0" w:space="0" w:color="auto"/>
        <w:right w:val="none" w:sz="0" w:space="0" w:color="auto"/>
      </w:divBdr>
    </w:div>
    <w:div w:id="235747533">
      <w:bodyDiv w:val="1"/>
      <w:marLeft w:val="0"/>
      <w:marRight w:val="0"/>
      <w:marTop w:val="0"/>
      <w:marBottom w:val="0"/>
      <w:divBdr>
        <w:top w:val="none" w:sz="0" w:space="0" w:color="auto"/>
        <w:left w:val="none" w:sz="0" w:space="0" w:color="auto"/>
        <w:bottom w:val="none" w:sz="0" w:space="0" w:color="auto"/>
        <w:right w:val="none" w:sz="0" w:space="0" w:color="auto"/>
      </w:divBdr>
    </w:div>
    <w:div w:id="340935534">
      <w:bodyDiv w:val="1"/>
      <w:marLeft w:val="0"/>
      <w:marRight w:val="0"/>
      <w:marTop w:val="0"/>
      <w:marBottom w:val="0"/>
      <w:divBdr>
        <w:top w:val="none" w:sz="0" w:space="0" w:color="auto"/>
        <w:left w:val="none" w:sz="0" w:space="0" w:color="auto"/>
        <w:bottom w:val="none" w:sz="0" w:space="0" w:color="auto"/>
        <w:right w:val="none" w:sz="0" w:space="0" w:color="auto"/>
      </w:divBdr>
    </w:div>
    <w:div w:id="689840549">
      <w:bodyDiv w:val="1"/>
      <w:marLeft w:val="0"/>
      <w:marRight w:val="0"/>
      <w:marTop w:val="0"/>
      <w:marBottom w:val="0"/>
      <w:divBdr>
        <w:top w:val="none" w:sz="0" w:space="0" w:color="auto"/>
        <w:left w:val="none" w:sz="0" w:space="0" w:color="auto"/>
        <w:bottom w:val="none" w:sz="0" w:space="0" w:color="auto"/>
        <w:right w:val="none" w:sz="0" w:space="0" w:color="auto"/>
      </w:divBdr>
    </w:div>
    <w:div w:id="987633999">
      <w:bodyDiv w:val="1"/>
      <w:marLeft w:val="0"/>
      <w:marRight w:val="0"/>
      <w:marTop w:val="0"/>
      <w:marBottom w:val="0"/>
      <w:divBdr>
        <w:top w:val="none" w:sz="0" w:space="0" w:color="auto"/>
        <w:left w:val="none" w:sz="0" w:space="0" w:color="auto"/>
        <w:bottom w:val="none" w:sz="0" w:space="0" w:color="auto"/>
        <w:right w:val="none" w:sz="0" w:space="0" w:color="auto"/>
      </w:divBdr>
    </w:div>
    <w:div w:id="1068841761">
      <w:bodyDiv w:val="1"/>
      <w:marLeft w:val="0"/>
      <w:marRight w:val="0"/>
      <w:marTop w:val="0"/>
      <w:marBottom w:val="0"/>
      <w:divBdr>
        <w:top w:val="none" w:sz="0" w:space="0" w:color="auto"/>
        <w:left w:val="none" w:sz="0" w:space="0" w:color="auto"/>
        <w:bottom w:val="none" w:sz="0" w:space="0" w:color="auto"/>
        <w:right w:val="none" w:sz="0" w:space="0" w:color="auto"/>
      </w:divBdr>
    </w:div>
    <w:div w:id="1568101737">
      <w:bodyDiv w:val="1"/>
      <w:marLeft w:val="0"/>
      <w:marRight w:val="0"/>
      <w:marTop w:val="300"/>
      <w:marBottom w:val="0"/>
      <w:divBdr>
        <w:top w:val="none" w:sz="0" w:space="0" w:color="auto"/>
        <w:left w:val="none" w:sz="0" w:space="0" w:color="auto"/>
        <w:bottom w:val="none" w:sz="0" w:space="0" w:color="auto"/>
        <w:right w:val="none" w:sz="0" w:space="0" w:color="auto"/>
      </w:divBdr>
      <w:divsChild>
        <w:div w:id="89006945">
          <w:marLeft w:val="0"/>
          <w:marRight w:val="0"/>
          <w:marTop w:val="0"/>
          <w:marBottom w:val="0"/>
          <w:divBdr>
            <w:top w:val="none" w:sz="0" w:space="0" w:color="auto"/>
            <w:left w:val="none" w:sz="0" w:space="0" w:color="auto"/>
            <w:bottom w:val="none" w:sz="0" w:space="0" w:color="auto"/>
            <w:right w:val="none" w:sz="0" w:space="0" w:color="auto"/>
          </w:divBdr>
          <w:divsChild>
            <w:div w:id="337123039">
              <w:marLeft w:val="0"/>
              <w:marRight w:val="0"/>
              <w:marTop w:val="0"/>
              <w:marBottom w:val="0"/>
              <w:divBdr>
                <w:top w:val="single" w:sz="6" w:space="8" w:color="CCCCCC"/>
                <w:left w:val="none" w:sz="0" w:space="0" w:color="auto"/>
                <w:bottom w:val="none" w:sz="0" w:space="0" w:color="auto"/>
                <w:right w:val="none" w:sz="0" w:space="0" w:color="auto"/>
              </w:divBdr>
              <w:divsChild>
                <w:div w:id="1258250447">
                  <w:marLeft w:val="0"/>
                  <w:marRight w:val="0"/>
                  <w:marTop w:val="0"/>
                  <w:marBottom w:val="0"/>
                  <w:divBdr>
                    <w:top w:val="none" w:sz="0" w:space="0" w:color="auto"/>
                    <w:left w:val="none" w:sz="0" w:space="0" w:color="auto"/>
                    <w:bottom w:val="none" w:sz="0" w:space="0" w:color="auto"/>
                    <w:right w:val="none" w:sz="0" w:space="0" w:color="auto"/>
                  </w:divBdr>
                  <w:divsChild>
                    <w:div w:id="81999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12082679">
      <w:bodyDiv w:val="1"/>
      <w:marLeft w:val="0"/>
      <w:marRight w:val="0"/>
      <w:marTop w:val="0"/>
      <w:marBottom w:val="0"/>
      <w:divBdr>
        <w:top w:val="none" w:sz="0" w:space="0" w:color="auto"/>
        <w:left w:val="none" w:sz="0" w:space="0" w:color="auto"/>
        <w:bottom w:val="none" w:sz="0" w:space="0" w:color="auto"/>
        <w:right w:val="none" w:sz="0" w:space="0" w:color="auto"/>
      </w:divBdr>
      <w:divsChild>
        <w:div w:id="13919305">
          <w:marLeft w:val="0"/>
          <w:marRight w:val="0"/>
          <w:marTop w:val="0"/>
          <w:marBottom w:val="0"/>
          <w:divBdr>
            <w:top w:val="none" w:sz="0" w:space="0" w:color="auto"/>
            <w:left w:val="none" w:sz="0" w:space="0" w:color="auto"/>
            <w:bottom w:val="none" w:sz="0" w:space="0" w:color="auto"/>
            <w:right w:val="none" w:sz="0" w:space="0" w:color="auto"/>
          </w:divBdr>
          <w:divsChild>
            <w:div w:id="2650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7957-par-policiju" TargetMode="External"/><Relationship Id="rId13" Type="http://schemas.openxmlformats.org/officeDocument/2006/relationships/hyperlink" Target="https://likumi.lv/ta/id/67957-par-policij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36850-par-socialo-drosib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ese.sproge@iem.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0500-civilprocesa-likums" TargetMode="External"/><Relationship Id="rId5" Type="http://schemas.openxmlformats.org/officeDocument/2006/relationships/webSettings" Target="webSettings.xml"/><Relationship Id="rId15" Type="http://schemas.openxmlformats.org/officeDocument/2006/relationships/hyperlink" Target="mailto:iveta.valaine@vp.gov.lv" TargetMode="External"/><Relationship Id="rId10" Type="http://schemas.openxmlformats.org/officeDocument/2006/relationships/hyperlink" Target="https://likumi.lv/ta/id/50500-civilprocesa-likum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ta/id/50500-civilprocesa-likums" TargetMode="External"/><Relationship Id="rId14" Type="http://schemas.openxmlformats.org/officeDocument/2006/relationships/hyperlink" Target="https://likumi.lv/ta/id/67957-par-polici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77B7D-A840-4EBC-97C0-E8236A798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10633</Words>
  <Characters>6061</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Melkers, Andris</dc:creator>
  <cp:lastModifiedBy>Inese Sproģe</cp:lastModifiedBy>
  <cp:revision>4</cp:revision>
  <cp:lastPrinted>2020-03-10T09:42:00Z</cp:lastPrinted>
  <dcterms:created xsi:type="dcterms:W3CDTF">2020-03-10T09:01:00Z</dcterms:created>
  <dcterms:modified xsi:type="dcterms:W3CDTF">2020-03-10T09:53:00Z</dcterms:modified>
</cp:coreProperties>
</file>