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D9" w:rsidRDefault="00351BFE">
      <w:pPr>
        <w:jc w:val="center"/>
      </w:pPr>
      <w:r>
        <w:rPr>
          <w:rFonts w:ascii="Times New Roman" w:hAnsi="Times New Roman" w:cs="Times New Roman"/>
          <w:b/>
          <w:bCs/>
          <w:lang w:eastAsia="lv-LV"/>
        </w:rPr>
        <w:t xml:space="preserve">Ministru kabineta noteikumu projekta “Grozījumi Ministru kabineta 2010.gada 26.janvāra noteikumos Nr.75 </w:t>
      </w:r>
      <w:r>
        <w:rPr>
          <w:rFonts w:ascii="Times New Roman" w:hAnsi="Times New Roman" w:cs="Times New Roman"/>
          <w:b/>
          <w:bCs/>
          <w:color w:val="000000"/>
          <w:lang w:eastAsia="lv-LV"/>
        </w:rPr>
        <w:t>“</w:t>
      </w:r>
      <w:r>
        <w:rPr>
          <w:rFonts w:ascii="Times New Roman" w:hAnsi="Times New Roman" w:cs="Times New Roman"/>
          <w:b/>
          <w:bCs/>
          <w:lang w:eastAsia="lv-LV"/>
        </w:rPr>
        <w:t xml:space="preserve">Ceļu satiksmes negadījumu, tajos cietušo un bojā gājušo personu reģistrācijas un uzskaites noteikumi” sākotnējās ietekmes novērtējuma ziņojums </w:t>
      </w:r>
      <w:r>
        <w:rPr>
          <w:rFonts w:ascii="Times New Roman" w:hAnsi="Times New Roman" w:cs="Times New Roman"/>
          <w:b/>
          <w:bCs/>
          <w:lang w:eastAsia="lv-LV"/>
        </w:rPr>
        <w:t>(anotācija)</w:t>
      </w:r>
    </w:p>
    <w:p w:rsidR="003175D9" w:rsidRDefault="003175D9">
      <w:pPr>
        <w:jc w:val="center"/>
        <w:rPr>
          <w:rFonts w:ascii="Times New Roman" w:hAnsi="Times New Roman" w:cs="Times New Roman"/>
          <w:b/>
          <w:bCs/>
          <w:lang w:eastAsia="lv-LV"/>
        </w:rPr>
      </w:pP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3653"/>
        <w:gridCol w:w="5460"/>
      </w:tblGrid>
      <w:tr w:rsidR="003175D9">
        <w:tc>
          <w:tcPr>
            <w:tcW w:w="9070"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b/>
                <w:bCs/>
                <w:color w:val="414142"/>
                <w:lang w:eastAsia="lv-LV"/>
              </w:rPr>
            </w:pPr>
            <w:r>
              <w:rPr>
                <w:rFonts w:ascii="Times New Roman" w:hAnsi="Times New Roman" w:cs="Times New Roman"/>
                <w:b/>
                <w:bCs/>
                <w:color w:val="414142"/>
                <w:lang w:eastAsia="lv-LV"/>
              </w:rPr>
              <w:t>Tiesību akta projekta anotācijas kopsavilkums</w:t>
            </w:r>
          </w:p>
        </w:tc>
      </w:tr>
      <w:tr w:rsidR="003175D9">
        <w:tc>
          <w:tcPr>
            <w:tcW w:w="3636"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Mērķis, risinājums un projekta spēkā stāšanās laiks (500 zīmes bez atstarpēm)</w:t>
            </w:r>
          </w:p>
        </w:tc>
        <w:tc>
          <w:tcPr>
            <w:tcW w:w="5434"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spacing w:before="120"/>
              <w:jc w:val="both"/>
              <w:rPr>
                <w:color w:val="000000"/>
              </w:rPr>
            </w:pPr>
            <w:r>
              <w:rPr>
                <w:rFonts w:ascii="Times New Roman" w:hAnsi="Times New Roman" w:cs="Times New Roman"/>
                <w:color w:val="000000"/>
                <w:lang w:eastAsia="lv-LV"/>
              </w:rPr>
              <w:t>Ministru kabineta noteikumu projekta “Grozījumi Ministru kabineta 2010.gada 26.janvāra noteikumos Nr. 75 ”Ceļu satiksm</w:t>
            </w:r>
            <w:r>
              <w:rPr>
                <w:rFonts w:ascii="Times New Roman" w:hAnsi="Times New Roman" w:cs="Times New Roman"/>
                <w:color w:val="000000"/>
                <w:lang w:eastAsia="lv-LV"/>
              </w:rPr>
              <w:t>es negadījumu, tajos cietušo un bojā gājušo personu reģistrācijas un uzskaites noteikumi” (turpmāk - projekts) mērķis ir nodrošināt derīgus, ticamus un salīdzināmus datus par ceļu satiksmes negadījumiem  (turpmāk – negadījums) un tajos smagi ievainotajiem.</w:t>
            </w:r>
            <w:r>
              <w:rPr>
                <w:rFonts w:ascii="Times New Roman" w:hAnsi="Times New Roman" w:cs="Times New Roman"/>
                <w:color w:val="000000"/>
                <w:lang w:eastAsia="lv-LV"/>
              </w:rPr>
              <w:t xml:space="preserve"> </w:t>
            </w:r>
          </w:p>
          <w:p w:rsidR="003175D9" w:rsidRDefault="00351BFE">
            <w:pPr>
              <w:spacing w:before="120"/>
              <w:jc w:val="both"/>
              <w:rPr>
                <w:color w:val="000000"/>
              </w:rPr>
            </w:pPr>
            <w:r>
              <w:rPr>
                <w:rFonts w:ascii="Times New Roman" w:hAnsi="Times New Roman" w:cs="Times New Roman"/>
                <w:color w:val="000000"/>
              </w:rPr>
              <w:t>Projekts paredz precizēt negadījumā smagi ievainotās un viegli ievainotās personas definīciju, precizēt Iekšlietu integrētās informācijas sistēmas apakšsistēmā “Ceļu policijas reģistrs” (turpmāk - Reģistrs) ievadāmo ziņu par negadījumu apjomu, precizēt z</w:t>
            </w:r>
            <w:r>
              <w:rPr>
                <w:rFonts w:ascii="Times New Roman" w:hAnsi="Times New Roman" w:cs="Times New Roman"/>
                <w:color w:val="000000"/>
              </w:rPr>
              <w:t xml:space="preserve">iņu reģistrēšanas, aktualizēšanas un sniegšanas kārtību. </w:t>
            </w:r>
          </w:p>
          <w:p w:rsidR="003175D9" w:rsidRDefault="00351BFE">
            <w:pPr>
              <w:spacing w:before="120"/>
              <w:jc w:val="both"/>
              <w:rPr>
                <w:rFonts w:ascii="Times New Roman" w:hAnsi="Times New Roman" w:cs="Times New Roman"/>
                <w:color w:val="ED1C24"/>
                <w:lang w:eastAsia="lv-LV"/>
              </w:rPr>
            </w:pPr>
            <w:r>
              <w:rPr>
                <w:rFonts w:ascii="Times New Roman" w:hAnsi="Times New Roman" w:cs="Times New Roman"/>
                <w:color w:val="000000"/>
                <w:lang w:eastAsia="lv-LV"/>
              </w:rPr>
              <w:t xml:space="preserve">Projekts stājas spēkā tā parakstīšanas brīdī. </w:t>
            </w:r>
          </w:p>
        </w:tc>
      </w:tr>
    </w:tbl>
    <w:p w:rsidR="003175D9" w:rsidRDefault="003175D9">
      <w:pPr>
        <w:shd w:val="clear" w:color="auto" w:fill="FFFFFF"/>
        <w:jc w:val="center"/>
        <w:rPr>
          <w:rFonts w:ascii="Times New Roman" w:hAnsi="Times New Roman" w:cs="Times New Roman"/>
          <w:b/>
          <w:bCs/>
          <w:lang w:eastAsia="lv-LV"/>
        </w:rPr>
      </w:pPr>
    </w:p>
    <w:tbl>
      <w:tblPr>
        <w:tblW w:w="9128" w:type="dxa"/>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397"/>
        <w:gridCol w:w="3231"/>
        <w:gridCol w:w="5500"/>
      </w:tblGrid>
      <w:tr w:rsidR="003175D9">
        <w:tc>
          <w:tcPr>
            <w:tcW w:w="9128"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rPr>
            </w:pPr>
            <w:r>
              <w:rPr>
                <w:rFonts w:ascii="Times New Roman" w:hAnsi="Times New Roman" w:cs="Times New Roman"/>
                <w:color w:val="385623"/>
                <w:lang w:eastAsia="lv-LV"/>
              </w:rPr>
              <w:t xml:space="preserve">  </w:t>
            </w:r>
            <w:r>
              <w:rPr>
                <w:rFonts w:ascii="Times New Roman" w:hAnsi="Times New Roman" w:cs="Times New Roman"/>
                <w:b/>
                <w:bCs/>
                <w:lang w:eastAsia="lv-LV"/>
              </w:rPr>
              <w:t>I. Tiesību akta projekta izstrādes nepieciešamība</w:t>
            </w:r>
          </w:p>
        </w:tc>
      </w:tr>
      <w:tr w:rsidR="003175D9">
        <w:trPr>
          <w:trHeight w:val="5043"/>
        </w:trPr>
        <w:tc>
          <w:tcPr>
            <w:tcW w:w="39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1.</w:t>
            </w:r>
          </w:p>
        </w:tc>
        <w:tc>
          <w:tcPr>
            <w:tcW w:w="323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Pamatojums</w:t>
            </w:r>
          </w:p>
        </w:tc>
        <w:tc>
          <w:tcPr>
            <w:tcW w:w="5500"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spacing w:before="120"/>
              <w:jc w:val="both"/>
            </w:pPr>
            <w:r>
              <w:rPr>
                <w:rFonts w:ascii="Times New Roman" w:hAnsi="Times New Roman" w:cs="Times New Roman"/>
                <w:color w:val="000000"/>
                <w:lang w:eastAsia="lv-LV"/>
              </w:rPr>
              <w:t>Projekts sagatavots, lai:</w:t>
            </w:r>
          </w:p>
          <w:p w:rsidR="003175D9" w:rsidRDefault="00351BFE">
            <w:pPr>
              <w:spacing w:before="120"/>
              <w:jc w:val="both"/>
            </w:pPr>
            <w:r>
              <w:rPr>
                <w:rFonts w:ascii="Times New Roman" w:hAnsi="Times New Roman" w:cs="Times New Roman"/>
                <w:color w:val="000000"/>
                <w:lang w:eastAsia="lv-LV"/>
              </w:rPr>
              <w:t xml:space="preserve">1. izpildītu Ministru kabineta 2019. gada 25. jūnija </w:t>
            </w:r>
            <w:r>
              <w:rPr>
                <w:rFonts w:ascii="Times New Roman" w:hAnsi="Times New Roman" w:cs="Times New Roman"/>
                <w:color w:val="000000"/>
                <w:lang w:eastAsia="lv-LV"/>
              </w:rPr>
              <w:t>sēdē (prot. Nr.30, 31</w:t>
            </w:r>
            <w:bookmarkStart w:id="0" w:name="BM77"/>
            <w:r>
              <w:rPr>
                <w:rFonts w:ascii="Times New Roman" w:hAnsi="Times New Roman" w:cs="Times New Roman"/>
                <w:color w:val="000000"/>
                <w:lang w:eastAsia="lv-LV"/>
              </w:rPr>
              <w:t>.§</w:t>
            </w:r>
            <w:bookmarkEnd w:id="0"/>
            <w:r>
              <w:rPr>
                <w:rFonts w:ascii="Times New Roman" w:hAnsi="Times New Roman" w:cs="Times New Roman"/>
                <w:color w:val="000000"/>
                <w:lang w:eastAsia="lv-LV"/>
              </w:rPr>
              <w:t xml:space="preserve">, 4. punkts) Informatīvais ziņojums </w:t>
            </w:r>
            <w:bookmarkStart w:id="1" w:name="__DdeLink__11342_4096140973"/>
            <w:r>
              <w:rPr>
                <w:rFonts w:ascii="Times New Roman" w:hAnsi="Times New Roman" w:cs="Times New Roman"/>
                <w:color w:val="000000"/>
                <w:lang w:eastAsia="lv-LV"/>
              </w:rPr>
              <w:t>“</w:t>
            </w:r>
            <w:bookmarkEnd w:id="1"/>
            <w:r>
              <w:rPr>
                <w:rFonts w:ascii="Times New Roman" w:hAnsi="Times New Roman" w:cs="Times New Roman"/>
                <w:color w:val="000000"/>
                <w:lang w:eastAsia="lv-LV"/>
              </w:rPr>
              <w:t>Par vienotu ceļu satiksmes negadījumos smagi ievainoto personu statistikas datu uzskaiti atbilstoši MAIS3+ prasībām” doto uzdevumu – Iekšlietu ministrijai sadarbībā ar Veselības ministriju un Sati</w:t>
            </w:r>
            <w:r>
              <w:rPr>
                <w:rFonts w:ascii="Times New Roman" w:hAnsi="Times New Roman" w:cs="Times New Roman"/>
                <w:color w:val="000000"/>
                <w:lang w:eastAsia="lv-LV"/>
              </w:rPr>
              <w:t>ksmes ministriju izstrādāt un iekšlietu ministram līdz 2020.gada 1.jūnijam iesniegt izskatīšanai Ministru kabinetā noteikumu projektu “Grozījumi Ministru kabineta 2010. gada 26. janvāra noteikumos Nr. 75 "Ceļu satiksmes negadījumu, tajos cietušo un bojā gā</w:t>
            </w:r>
            <w:r>
              <w:rPr>
                <w:rFonts w:ascii="Times New Roman" w:hAnsi="Times New Roman" w:cs="Times New Roman"/>
                <w:color w:val="000000"/>
                <w:lang w:eastAsia="lv-LV"/>
              </w:rPr>
              <w:t>jušo personu reģistrācijas un uzskaites noteikumi"", lai nodrošinātu informatīvajā ziņojumā minētā procesa attiecībā uz vienotas ceļu satiksmes negadījumos smagi ievainoto statistikas datu uzskaites atbilstoši MAIS3+ prasībām ieviešanu, kā arī noteiktu val</w:t>
            </w:r>
            <w:r>
              <w:rPr>
                <w:rFonts w:ascii="Times New Roman" w:hAnsi="Times New Roman" w:cs="Times New Roman"/>
                <w:color w:val="000000"/>
                <w:lang w:eastAsia="lv-LV"/>
              </w:rPr>
              <w:t>sts akciju sabiedrībai "Ceļu satiksmes drošības direkcija" pienākumu katru kalendāro gadu nodrošināt statistiku un tās analīzi par ceļu satiksmes negadījumos ievainoto personu traumām atbilstoši MAIS3+ klasifikatoram.</w:t>
            </w:r>
          </w:p>
          <w:p w:rsidR="003175D9" w:rsidRPr="003D28C5" w:rsidRDefault="00351BFE" w:rsidP="003D28C5">
            <w:pPr>
              <w:spacing w:before="120"/>
              <w:jc w:val="both"/>
            </w:pPr>
            <w:r>
              <w:rPr>
                <w:rFonts w:ascii="Times New Roman" w:hAnsi="Times New Roman" w:cs="Times New Roman"/>
                <w:color w:val="000000"/>
                <w:lang w:eastAsia="lv-LV"/>
              </w:rPr>
              <w:t>2. pilnveidotu Ministru kabineta 2010.</w:t>
            </w:r>
            <w:r>
              <w:rPr>
                <w:rFonts w:ascii="Times New Roman" w:hAnsi="Times New Roman" w:cs="Times New Roman"/>
                <w:color w:val="000000"/>
                <w:lang w:eastAsia="lv-LV"/>
              </w:rPr>
              <w:t xml:space="preserve"> gada 26. janvāra </w:t>
            </w:r>
            <w:r>
              <w:rPr>
                <w:rFonts w:ascii="Times New Roman" w:hAnsi="Times New Roman" w:cs="Times New Roman"/>
                <w:color w:val="000000"/>
                <w:lang w:eastAsia="lv-LV"/>
              </w:rPr>
              <w:lastRenderedPageBreak/>
              <w:t xml:space="preserve">noteikumu Nr. 75 “Ceļu satiksmes negadījumu, tajos cietušo un bojā gājušo personu reģistrācijas un uzskaites noteikumi” </w:t>
            </w:r>
            <w:r>
              <w:rPr>
                <w:rFonts w:ascii="Times New Roman" w:hAnsi="Times New Roman" w:cs="Times New Roman"/>
                <w:color w:val="000000"/>
                <w:lang w:eastAsia="lv-LV"/>
              </w:rPr>
              <w:t>(turpmāk - Noteikumi Nr. 75)</w:t>
            </w:r>
            <w:r>
              <w:rPr>
                <w:rFonts w:ascii="Times New Roman" w:hAnsi="Times New Roman" w:cs="Times New Roman"/>
                <w:b/>
                <w:bCs/>
                <w:color w:val="000000"/>
                <w:lang w:eastAsia="lv-LV"/>
              </w:rPr>
              <w:t xml:space="preserve"> </w:t>
            </w:r>
            <w:r>
              <w:rPr>
                <w:rFonts w:ascii="Times New Roman" w:hAnsi="Times New Roman" w:cs="Times New Roman"/>
                <w:color w:val="000000"/>
                <w:lang w:eastAsia="lv-LV"/>
              </w:rPr>
              <w:t xml:space="preserve"> regulējumu, novēršot Valsts kontroles revīzijas ziņojumā „Vai Valsts policijas darbības </w:t>
            </w:r>
            <w:r>
              <w:rPr>
                <w:rFonts w:ascii="Times New Roman" w:hAnsi="Times New Roman" w:cs="Times New Roman"/>
                <w:color w:val="000000"/>
                <w:lang w:eastAsia="lv-LV"/>
              </w:rPr>
              <w:t>ceļu satiksmes jomā ir pietiekamas un efektīvas?” (revīzijas lieta Nr.2.4.1-19-1/2016) konstatētos trūkumus un citas praksē konstatētās nepilnības.</w:t>
            </w:r>
            <w:bookmarkStart w:id="2" w:name="_GoBack"/>
            <w:bookmarkEnd w:id="2"/>
          </w:p>
        </w:tc>
      </w:tr>
      <w:tr w:rsidR="003175D9">
        <w:trPr>
          <w:trHeight w:val="1500"/>
        </w:trPr>
        <w:tc>
          <w:tcPr>
            <w:tcW w:w="39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lastRenderedPageBreak/>
              <w:t>2.</w:t>
            </w:r>
          </w:p>
        </w:tc>
        <w:tc>
          <w:tcPr>
            <w:tcW w:w="323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Pašreizējā situācija un problēmas, kuru risināšanai tiesību akta projekts izstrādāts, tiesiskā regulēju</w:t>
            </w:r>
            <w:r>
              <w:rPr>
                <w:rFonts w:ascii="Times New Roman" w:hAnsi="Times New Roman" w:cs="Times New Roman"/>
                <w:lang w:eastAsia="lv-LV"/>
              </w:rPr>
              <w:t>ma mērķis un būtība</w:t>
            </w:r>
          </w:p>
        </w:tc>
        <w:tc>
          <w:tcPr>
            <w:tcW w:w="5500"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spacing w:before="120"/>
              <w:jc w:val="both"/>
              <w:rPr>
                <w:rFonts w:ascii="Times New Roman" w:hAnsi="Times New Roman" w:cs="Times New Roman"/>
                <w:b/>
                <w:bCs/>
                <w:i/>
                <w:iCs/>
                <w:lang w:eastAsia="lv-LV"/>
              </w:rPr>
            </w:pPr>
            <w:r>
              <w:rPr>
                <w:rFonts w:ascii="Times New Roman" w:hAnsi="Times New Roman" w:cs="Times New Roman"/>
                <w:b/>
                <w:bCs/>
                <w:i/>
                <w:iCs/>
                <w:lang w:eastAsia="lv-LV"/>
              </w:rPr>
              <w:t>Pašreizējā situācija un problēmas</w:t>
            </w:r>
          </w:p>
          <w:p w:rsidR="003175D9" w:rsidRDefault="00351BFE">
            <w:pPr>
              <w:spacing w:before="120"/>
              <w:ind w:left="39"/>
              <w:jc w:val="both"/>
            </w:pPr>
            <w:r>
              <w:rPr>
                <w:rFonts w:ascii="Times New Roman" w:hAnsi="Times New Roman" w:cs="Times New Roman"/>
                <w:color w:val="000000"/>
                <w:lang w:eastAsia="lv-LV"/>
              </w:rPr>
              <w:t>Saskaņā Noteikumu Nr.75 7.punktu negadījumā ievainotās personas šobrīd iedala smagi ievainotās personās (personas, kuras ārstējušās stacionārā ilgāk par 24 stundām) un viegli ievainotās personās (person</w:t>
            </w:r>
            <w:r>
              <w:rPr>
                <w:rFonts w:ascii="Times New Roman" w:hAnsi="Times New Roman" w:cs="Times New Roman"/>
                <w:color w:val="000000"/>
                <w:lang w:eastAsia="lv-LV"/>
              </w:rPr>
              <w:t>as, kurām sniegta medicīniskā palīdzība, izņemot smagi ievainotās personas).</w:t>
            </w:r>
          </w:p>
          <w:p w:rsidR="003175D9" w:rsidRDefault="00351BFE">
            <w:pPr>
              <w:spacing w:before="120"/>
              <w:ind w:left="39"/>
              <w:jc w:val="both"/>
              <w:rPr>
                <w:color w:val="000000"/>
              </w:rPr>
            </w:pPr>
            <w:r>
              <w:rPr>
                <w:rFonts w:ascii="Times New Roman" w:hAnsi="Times New Roman" w:cs="Times New Roman"/>
                <w:color w:val="000000"/>
                <w:lang w:eastAsia="lv-LV"/>
              </w:rPr>
              <w:t xml:space="preserve">Tādējādi, reģistrējot datus par negadījumos Latvijā ievainotajām personām, netiek ņemta vērā negadījumos gūto ievainojumu reālā smaguma pakāpe un šie dati nav precīzi un </w:t>
            </w:r>
            <w:r>
              <w:rPr>
                <w:rFonts w:ascii="Times New Roman" w:hAnsi="Times New Roman" w:cs="Times New Roman"/>
                <w:color w:val="000000"/>
                <w:lang w:eastAsia="lv-LV"/>
              </w:rPr>
              <w:t>salīdzināmi ar citu valstu datiem, kuri tiek uzkrāti, nosakot ievainojumu smaguma pakāpi atbilstoši Maksimāli saīsinātajai traumu klasifikācijai (</w:t>
            </w:r>
            <w:r>
              <w:rPr>
                <w:rFonts w:ascii="Times New Roman" w:hAnsi="Times New Roman" w:cs="Times New Roman"/>
                <w:i/>
                <w:iCs/>
                <w:color w:val="000000"/>
                <w:lang w:eastAsia="lv-LV"/>
              </w:rPr>
              <w:t>angļu val. - Maximum Abbreviated Injury Scale, turpmāk – MAIS).</w:t>
            </w:r>
          </w:p>
          <w:p w:rsidR="003175D9" w:rsidRDefault="00351BFE">
            <w:pPr>
              <w:spacing w:before="120"/>
              <w:ind w:left="39"/>
              <w:jc w:val="both"/>
              <w:rPr>
                <w:rFonts w:ascii="Times New Roman" w:hAnsi="Times New Roman" w:cs="Times New Roman"/>
                <w:color w:val="FF0000"/>
              </w:rPr>
            </w:pPr>
            <w:r>
              <w:rPr>
                <w:rFonts w:ascii="Times New Roman" w:hAnsi="Times New Roman" w:cs="Times New Roman"/>
                <w:i/>
                <w:iCs/>
                <w:color w:val="000000"/>
                <w:lang w:eastAsia="lv-LV"/>
              </w:rPr>
              <w:t>MAIS</w:t>
            </w:r>
            <w:r>
              <w:rPr>
                <w:rFonts w:ascii="Times New Roman" w:hAnsi="Times New Roman" w:cs="Times New Roman"/>
                <w:color w:val="000000"/>
                <w:lang w:eastAsia="lv-LV"/>
              </w:rPr>
              <w:t xml:space="preserve"> ir izstrādāts transporta negadījumu izmeklēšanas vajadzībām, lai nodrošinātu vienkāršu skaitlisku metodi ranžēšanai un traumu smaguma pakāpes salīdzināšanai. </w:t>
            </w:r>
          </w:p>
          <w:p w:rsidR="003175D9" w:rsidRDefault="00351BFE">
            <w:pPr>
              <w:spacing w:before="120"/>
              <w:ind w:left="39"/>
              <w:jc w:val="both"/>
            </w:pPr>
            <w:r>
              <w:rPr>
                <w:rFonts w:ascii="Times New Roman" w:hAnsi="Times New Roman" w:cs="Times New Roman"/>
                <w:color w:val="000000"/>
                <w:lang w:eastAsia="lv-LV"/>
              </w:rPr>
              <w:t xml:space="preserve">Citās Eiropas Savienības valstīs personas, kuru gūtie ievainojumi klasificēti atbilstoši </w:t>
            </w:r>
            <w:r>
              <w:rPr>
                <w:rFonts w:ascii="Times New Roman" w:hAnsi="Times New Roman" w:cs="Times New Roman"/>
                <w:i/>
                <w:iCs/>
                <w:color w:val="000000"/>
                <w:lang w:eastAsia="lv-LV"/>
              </w:rPr>
              <w:t>MAIS</w:t>
            </w:r>
            <w:r>
              <w:rPr>
                <w:rFonts w:ascii="Times New Roman" w:hAnsi="Times New Roman" w:cs="Times New Roman"/>
                <w:color w:val="000000"/>
                <w:lang w:eastAsia="lv-LV"/>
              </w:rPr>
              <w:t xml:space="preserve"> pi</w:t>
            </w:r>
            <w:r>
              <w:rPr>
                <w:rFonts w:ascii="Times New Roman" w:hAnsi="Times New Roman" w:cs="Times New Roman"/>
                <w:color w:val="000000"/>
                <w:lang w:eastAsia="lv-LV"/>
              </w:rPr>
              <w:t>rmajai un otrajai pakāpei (</w:t>
            </w:r>
            <w:r>
              <w:rPr>
                <w:rFonts w:ascii="Times New Roman" w:hAnsi="Times New Roman" w:cs="Times New Roman"/>
                <w:i/>
                <w:iCs/>
                <w:color w:val="000000"/>
                <w:lang w:eastAsia="lv-LV"/>
              </w:rPr>
              <w:t>MAIS&lt;3</w:t>
            </w:r>
            <w:r>
              <w:rPr>
                <w:rFonts w:ascii="Times New Roman" w:hAnsi="Times New Roman" w:cs="Times New Roman"/>
                <w:color w:val="000000"/>
                <w:lang w:eastAsia="lv-LV"/>
              </w:rPr>
              <w:t xml:space="preserve">), tiek uzskatītas par viegli ievainotām, bet personas, kuru gūtie ievainojumi  klasificēti atbilstoši </w:t>
            </w:r>
            <w:r>
              <w:rPr>
                <w:rFonts w:ascii="Times New Roman" w:hAnsi="Times New Roman" w:cs="Times New Roman"/>
                <w:i/>
                <w:iCs/>
                <w:color w:val="000000"/>
                <w:lang w:eastAsia="lv-LV"/>
              </w:rPr>
              <w:t>MAIS</w:t>
            </w:r>
            <w:r>
              <w:rPr>
                <w:rFonts w:ascii="Times New Roman" w:hAnsi="Times New Roman" w:cs="Times New Roman"/>
                <w:color w:val="000000"/>
                <w:lang w:eastAsia="lv-LV"/>
              </w:rPr>
              <w:t xml:space="preserve"> trešajai līdz sestajai pakāpei (</w:t>
            </w:r>
            <w:r>
              <w:rPr>
                <w:rFonts w:ascii="Times New Roman" w:hAnsi="Times New Roman" w:cs="Times New Roman"/>
                <w:i/>
                <w:iCs/>
                <w:color w:val="000000"/>
                <w:lang w:eastAsia="lv-LV"/>
              </w:rPr>
              <w:t>MAIS3+</w:t>
            </w:r>
            <w:r>
              <w:rPr>
                <w:rFonts w:ascii="Times New Roman" w:hAnsi="Times New Roman" w:cs="Times New Roman"/>
                <w:color w:val="000000"/>
                <w:lang w:eastAsia="lv-LV"/>
              </w:rPr>
              <w:t xml:space="preserve">), tiek uzskatītas par smagi ievainotām. </w:t>
            </w:r>
          </w:p>
          <w:p w:rsidR="003175D9" w:rsidRDefault="00351BFE">
            <w:pPr>
              <w:spacing w:before="120"/>
              <w:ind w:left="15"/>
              <w:jc w:val="both"/>
            </w:pPr>
            <w:r>
              <w:rPr>
                <w:rFonts w:ascii="Times New Roman" w:hAnsi="Times New Roman" w:cs="Times New Roman"/>
                <w:color w:val="000000"/>
                <w:lang w:eastAsia="lv-LV"/>
              </w:rPr>
              <w:t>Lai Latvijā nodrošinātu datu par ne</w:t>
            </w:r>
            <w:r>
              <w:rPr>
                <w:rFonts w:ascii="Times New Roman" w:hAnsi="Times New Roman" w:cs="Times New Roman"/>
                <w:color w:val="000000"/>
                <w:lang w:eastAsia="lv-LV"/>
              </w:rPr>
              <w:t xml:space="preserve">gadījumos ievainotajām personām reģistrāciju atbilstoši </w:t>
            </w:r>
            <w:r>
              <w:rPr>
                <w:rFonts w:ascii="Times New Roman" w:hAnsi="Times New Roman" w:cs="Times New Roman"/>
                <w:i/>
                <w:iCs/>
                <w:color w:val="000000"/>
                <w:lang w:eastAsia="lv-LV"/>
              </w:rPr>
              <w:t>MAIS</w:t>
            </w:r>
            <w:r>
              <w:rPr>
                <w:rFonts w:ascii="Times New Roman" w:hAnsi="Times New Roman" w:cs="Times New Roman"/>
                <w:color w:val="000000"/>
                <w:lang w:eastAsia="lv-LV"/>
              </w:rPr>
              <w:t>,  nepieciešamas izmaiņas Pacientu tiesību likumā un Noteikumos Nr. 75.</w:t>
            </w:r>
          </w:p>
          <w:p w:rsidR="003175D9" w:rsidRDefault="00351BFE">
            <w:pPr>
              <w:spacing w:before="120"/>
              <w:ind w:left="15"/>
              <w:jc w:val="both"/>
            </w:pPr>
            <w:r>
              <w:rPr>
                <w:rFonts w:ascii="Times New Roman" w:hAnsi="Times New Roman" w:cs="Times New Roman"/>
                <w:color w:val="000000"/>
                <w:lang w:eastAsia="lv-LV"/>
              </w:rPr>
              <w:lastRenderedPageBreak/>
              <w:t>Veselības ministrija ir sagatavojusi grozījumus Pacientu tiesību likumā, lai Nacionālajam veselības dienestam noteiktu tiesī</w:t>
            </w:r>
            <w:r>
              <w:rPr>
                <w:rFonts w:ascii="Times New Roman" w:hAnsi="Times New Roman" w:cs="Times New Roman"/>
                <w:color w:val="000000"/>
                <w:lang w:eastAsia="lv-LV"/>
              </w:rPr>
              <w:t>bas apstrādāt ārstniecības iestāžu datus par negadījumos ievainoto personu veselības stāvokli.</w:t>
            </w:r>
          </w:p>
          <w:p w:rsidR="003175D9" w:rsidRDefault="00351BFE">
            <w:pPr>
              <w:spacing w:before="120"/>
              <w:ind w:left="15"/>
              <w:jc w:val="both"/>
            </w:pPr>
            <w:r>
              <w:rPr>
                <w:rFonts w:ascii="Times New Roman" w:hAnsi="Times New Roman" w:cs="Times New Roman"/>
                <w:color w:val="000000"/>
                <w:lang w:eastAsia="lv-LV"/>
              </w:rPr>
              <w:t>Savukārt Noteikumos Nr.75 nepieciešams precizēt negadījumos smagi ievainotās un viegli ievainotās personas  definīcijas un prasības par negadījumos ievainoto per</w:t>
            </w:r>
            <w:r>
              <w:rPr>
                <w:rFonts w:ascii="Times New Roman" w:hAnsi="Times New Roman" w:cs="Times New Roman"/>
                <w:color w:val="000000"/>
                <w:lang w:eastAsia="lv-LV"/>
              </w:rPr>
              <w:t xml:space="preserve">sonu  traumu reģistrēšanu atbilstoši </w:t>
            </w:r>
            <w:r>
              <w:rPr>
                <w:rFonts w:ascii="Times New Roman" w:hAnsi="Times New Roman" w:cs="Times New Roman"/>
                <w:i/>
                <w:iCs/>
                <w:color w:val="000000"/>
                <w:lang w:eastAsia="lv-LV"/>
              </w:rPr>
              <w:t>MAIS.</w:t>
            </w:r>
            <w:r>
              <w:rPr>
                <w:rFonts w:ascii="Times New Roman" w:hAnsi="Times New Roman" w:cs="Times New Roman"/>
                <w:b/>
                <w:bCs/>
                <w:color w:val="CE181E"/>
                <w:lang w:eastAsia="lv-LV"/>
              </w:rPr>
              <w:t xml:space="preserve"> </w:t>
            </w:r>
          </w:p>
          <w:p w:rsidR="003175D9" w:rsidRDefault="00351BFE">
            <w:pPr>
              <w:keepLines/>
              <w:spacing w:before="120"/>
              <w:ind w:left="15"/>
              <w:jc w:val="both"/>
            </w:pPr>
            <w:r>
              <w:rPr>
                <w:rFonts w:ascii="Times New Roman" w:hAnsi="Times New Roman" w:cs="Times New Roman"/>
                <w:color w:val="000000"/>
                <w:lang w:eastAsia="lv-LV"/>
              </w:rPr>
              <w:t>Pēc grozījumu izdarīšanas minētajos normatīvajos aktos starp Nacionālo veselības dienestu un Iekšlietu ministrijas Informācijas centru tiks noslēgta starpresoru vienošanās par informācijas apmaiņu, izmantojot Nac</w:t>
            </w:r>
            <w:r>
              <w:rPr>
                <w:rFonts w:ascii="Times New Roman" w:hAnsi="Times New Roman" w:cs="Times New Roman"/>
                <w:color w:val="000000"/>
                <w:lang w:eastAsia="lv-LV"/>
              </w:rPr>
              <w:t xml:space="preserve">ionālā veselības dienesta veselības aprūpes pakalpojumu apmaksas norēķinu sistēmas "Vadības informācijas sistēma" (turpmāk - VIS) datus un Reģistra datus par negadījumos cietušajām personām. </w:t>
            </w:r>
          </w:p>
          <w:p w:rsidR="003175D9" w:rsidRDefault="00351BFE">
            <w:pPr>
              <w:spacing w:before="120"/>
              <w:ind w:left="15"/>
              <w:jc w:val="both"/>
            </w:pPr>
            <w:r>
              <w:rPr>
                <w:rFonts w:ascii="Times New Roman" w:hAnsi="Times New Roman" w:cs="Times New Roman"/>
                <w:color w:val="000000"/>
                <w:lang w:eastAsia="lv-LV"/>
              </w:rPr>
              <w:t>Negadījumos ievainoto statistikas datu  klasificēšana un reģistr</w:t>
            </w:r>
            <w:r>
              <w:rPr>
                <w:rFonts w:ascii="Times New Roman" w:hAnsi="Times New Roman" w:cs="Times New Roman"/>
                <w:color w:val="000000"/>
                <w:lang w:eastAsia="lv-LV"/>
              </w:rPr>
              <w:t xml:space="preserve">ēšana atbilstoši </w:t>
            </w:r>
            <w:r>
              <w:rPr>
                <w:rFonts w:ascii="Times New Roman" w:hAnsi="Times New Roman" w:cs="Times New Roman"/>
                <w:i/>
                <w:iCs/>
                <w:color w:val="000000"/>
                <w:lang w:eastAsia="lv-LV"/>
              </w:rPr>
              <w:t>MAIS</w:t>
            </w:r>
            <w:r>
              <w:rPr>
                <w:rFonts w:ascii="Times New Roman" w:hAnsi="Times New Roman" w:cs="Times New Roman"/>
                <w:color w:val="000000"/>
                <w:lang w:eastAsia="lv-LV"/>
              </w:rPr>
              <w:t xml:space="preserve"> tiks nodrošināta, Nacionālajam veselības dienestam  izmantojot Reģistra datus, kas nepieciešami negadījumā ievainoto personu identificēšanai (personas kods, negadījuma datums) un VIS stacionāro karšu datus (diagnozes S00 - S99.9 un T0</w:t>
            </w:r>
            <w:r>
              <w:rPr>
                <w:rFonts w:ascii="Times New Roman" w:hAnsi="Times New Roman" w:cs="Times New Roman"/>
                <w:color w:val="000000"/>
                <w:lang w:eastAsia="lv-LV"/>
              </w:rPr>
              <w:t>7 - T88.9) par pacientiem, kuri stacionēti 30 dienu laikā pēc negadījuma.</w:t>
            </w:r>
          </w:p>
          <w:p w:rsidR="003175D9" w:rsidRDefault="00351BFE">
            <w:pPr>
              <w:spacing w:before="120"/>
              <w:ind w:left="15"/>
              <w:jc w:val="both"/>
            </w:pPr>
            <w:r>
              <w:rPr>
                <w:rFonts w:ascii="Times New Roman" w:hAnsi="Times New Roman" w:cs="Times New Roman"/>
                <w:color w:val="000000"/>
                <w:lang w:eastAsia="lv-LV"/>
              </w:rPr>
              <w:t xml:space="preserve">Rezultātā Reģistrā tiks reģistrēti aktualizēti dati par negadījumos smagi ievainotajām un viegli ievainotajām personām atbilstoši </w:t>
            </w:r>
            <w:r>
              <w:rPr>
                <w:rFonts w:ascii="Times New Roman" w:hAnsi="Times New Roman" w:cs="Times New Roman"/>
                <w:i/>
                <w:iCs/>
                <w:color w:val="000000"/>
                <w:lang w:eastAsia="lv-LV"/>
              </w:rPr>
              <w:t>MAIS</w:t>
            </w:r>
            <w:r>
              <w:rPr>
                <w:rFonts w:ascii="Times New Roman" w:hAnsi="Times New Roman" w:cs="Times New Roman"/>
                <w:color w:val="000000"/>
                <w:lang w:eastAsia="lv-LV"/>
              </w:rPr>
              <w:t>.</w:t>
            </w:r>
          </w:p>
          <w:p w:rsidR="003175D9" w:rsidRDefault="00351BFE">
            <w:pPr>
              <w:pStyle w:val="NoSpacing"/>
              <w:spacing w:before="120"/>
              <w:jc w:val="both"/>
              <w:rPr>
                <w:szCs w:val="24"/>
              </w:rPr>
            </w:pPr>
            <w:r>
              <w:rPr>
                <w:rFonts w:ascii="Times New Roman" w:hAnsi="Times New Roman" w:cs="Times New Roman"/>
                <w:szCs w:val="24"/>
              </w:rPr>
              <w:t>Valsts kontroles revīzijas „Vai Valsts policij</w:t>
            </w:r>
            <w:r>
              <w:rPr>
                <w:rFonts w:ascii="Times New Roman" w:hAnsi="Times New Roman" w:cs="Times New Roman"/>
                <w:szCs w:val="24"/>
              </w:rPr>
              <w:t>as darbības ceļu satiksmes jomā ir pietiekamas un efektīvas?” ieteikumu ieviešanas gaitā Valsts policijā tika izvērtēts ceļu satiksmes negadījuma reģistrēšanas protokols (turpmāk - protokols) un atbilstoši ikdienas praksē konstatētajām problēmām  protokols</w:t>
            </w:r>
            <w:r>
              <w:rPr>
                <w:rFonts w:ascii="Times New Roman" w:hAnsi="Times New Roman" w:cs="Times New Roman"/>
                <w:szCs w:val="24"/>
              </w:rPr>
              <w:t xml:space="preserve"> papildināts ar iztrūkstošo informāciju un jauniem ievadāmiem laukiem, kā arī izslēgti liekie lauki.  Protokols papildināts ar lauku par negadījuma ģeogrāfiskajām  koordinātām WGS84 sistēmā (lai no šiem datiem būtu iespējams veidot Latvijas ceļu melno punk</w:t>
            </w:r>
            <w:r>
              <w:rPr>
                <w:rFonts w:ascii="Times New Roman" w:hAnsi="Times New Roman" w:cs="Times New Roman"/>
                <w:szCs w:val="24"/>
              </w:rPr>
              <w:t>tu karti), ar lauku par atļaujas piedalīties ceļu satiksmē anulēšanu pēc negadījuma, kā arī ar lauku par riteņu protektora dziļuma mērījumu rezultātiem.</w:t>
            </w:r>
            <w:r>
              <w:rPr>
                <w:rFonts w:ascii="Times New Roman" w:hAnsi="Times New Roman" w:cs="Times New Roman"/>
                <w:szCs w:val="24"/>
                <w:lang w:eastAsia="lv-LV"/>
              </w:rPr>
              <w:t xml:space="preserve"> </w:t>
            </w:r>
            <w:r>
              <w:rPr>
                <w:rFonts w:ascii="Times New Roman" w:hAnsi="Times New Roman" w:cs="Times New Roman"/>
                <w:szCs w:val="24"/>
              </w:rPr>
              <w:t>Atbilstoši papildinātajiem protokola laukiem, veiktas Reģistra programmatūras izmaiņas. Vienlaikus ar š</w:t>
            </w:r>
            <w:r>
              <w:rPr>
                <w:rFonts w:ascii="Times New Roman" w:hAnsi="Times New Roman" w:cs="Times New Roman"/>
                <w:szCs w:val="24"/>
              </w:rPr>
              <w:t xml:space="preserve">īm izmaiņām Valsts policijā un Iekšlietu ministrijas Informācijas centrā izvērtēts un salīdzināts protokolā un Reģistrā  iekļaujamās informācijas apjoms ar prasībām, kuras </w:t>
            </w:r>
            <w:r>
              <w:rPr>
                <w:rFonts w:ascii="Times New Roman" w:hAnsi="Times New Roman" w:cs="Times New Roman"/>
                <w:szCs w:val="24"/>
              </w:rPr>
              <w:lastRenderedPageBreak/>
              <w:t xml:space="preserve">paredz Noteikumi Nr. 75. </w:t>
            </w:r>
            <w:r>
              <w:rPr>
                <w:rFonts w:ascii="Times New Roman" w:hAnsi="Times New Roman" w:cs="Times New Roman"/>
                <w:color w:val="000000"/>
                <w:szCs w:val="24"/>
                <w:lang w:eastAsia="lv-LV"/>
              </w:rPr>
              <w:t>Izvērtējuma rezultātā konstatēts, ka Noteikumos Nr.75 nepie</w:t>
            </w:r>
            <w:r>
              <w:rPr>
                <w:rFonts w:ascii="Times New Roman" w:hAnsi="Times New Roman" w:cs="Times New Roman"/>
                <w:color w:val="000000"/>
                <w:szCs w:val="24"/>
                <w:lang w:eastAsia="lv-LV"/>
              </w:rPr>
              <w:t>ciešams sagatavot grozījumus, aktualizējot tos atbilstoši  protokolā un Reģistrā reģistrējamās informācijas apjomam.</w:t>
            </w:r>
          </w:p>
          <w:p w:rsidR="003175D9" w:rsidRDefault="00351BFE">
            <w:pPr>
              <w:pStyle w:val="NoSpacing"/>
              <w:spacing w:before="120"/>
              <w:jc w:val="both"/>
              <w:rPr>
                <w:szCs w:val="24"/>
              </w:rPr>
            </w:pPr>
            <w:r>
              <w:rPr>
                <w:rFonts w:ascii="Times New Roman" w:hAnsi="Times New Roman" w:cs="Times New Roman"/>
                <w:color w:val="000000"/>
                <w:szCs w:val="24"/>
                <w:lang w:eastAsia="lv-LV"/>
              </w:rPr>
              <w:t xml:space="preserve">Precizējot negadījumā smagi ievainotās un viegli ievainotās personas  definīciju un precizējot ziņu apjomu, kas protokolā un Reģistrā tiek </w:t>
            </w:r>
            <w:r>
              <w:rPr>
                <w:rFonts w:ascii="Times New Roman" w:hAnsi="Times New Roman" w:cs="Times New Roman"/>
                <w:color w:val="000000"/>
                <w:szCs w:val="24"/>
                <w:lang w:eastAsia="lv-LV"/>
              </w:rPr>
              <w:t>reģistrēts par  negadījumu, tiks izpildīts Ministru kabineta 2019. gada 25. jūnija sēdē dotais uzdevums arī daļā, lai noteiktu valsts akciju sabiedrībai "Ceļu satiksmes drošības direkcija" pienākumu katru kalendāro gadu nodrošināt statistiku un tās analīzi</w:t>
            </w:r>
            <w:r>
              <w:rPr>
                <w:rFonts w:ascii="Times New Roman" w:hAnsi="Times New Roman" w:cs="Times New Roman"/>
                <w:color w:val="000000"/>
                <w:szCs w:val="24"/>
                <w:lang w:eastAsia="lv-LV"/>
              </w:rPr>
              <w:t xml:space="preserve"> par ceļu satiksmes negadījumos ievainoto personu traumām atbilstoši MAIS3+ klasifikatoram. Proti, Ceļu satiksmes likuma 4. panta piektajā daļā ir noteikts, ka Ceļu satiksmes drošības direkcija </w:t>
            </w:r>
            <w:r>
              <w:rPr>
                <w:rFonts w:ascii="Times New Roman" w:hAnsi="Times New Roman" w:cs="Times New Roman"/>
                <w:color w:val="000000"/>
                <w:szCs w:val="24"/>
                <w:lang w:eastAsia="lv-LV"/>
              </w:rPr>
              <w:t>pamatojoties uz informāciju, ko Iekšlietu ministrijas Informāc</w:t>
            </w:r>
            <w:r>
              <w:rPr>
                <w:rFonts w:ascii="Times New Roman" w:hAnsi="Times New Roman" w:cs="Times New Roman"/>
                <w:color w:val="000000"/>
                <w:szCs w:val="24"/>
                <w:lang w:eastAsia="lv-LV"/>
              </w:rPr>
              <w:t>ijas centrs sniedz Ministru kabineta noteiktajā apjomā un kārtībā, nodrošina statistiku par ceļu satiksmes negadījumiem un tās analīzi. Savukārt Noteikumu Nr. 75 20. punktā ir noteikts, lai nodrošinātu negadījumu statistiku un tās analīzi, Iekšlietu minist</w:t>
            </w:r>
            <w:r>
              <w:rPr>
                <w:rFonts w:ascii="Times New Roman" w:hAnsi="Times New Roman" w:cs="Times New Roman"/>
                <w:color w:val="000000"/>
                <w:szCs w:val="24"/>
                <w:lang w:eastAsia="lv-LV"/>
              </w:rPr>
              <w:t xml:space="preserve">rijas Informācijas centrs katru mēnesi līdz piecpadsmitajam datumam elektroniski sniedz Ceļu satiksmes drošības direkcijai šo noteikumu 12. punktā minētās ziņas par iepriekšējo mēnesi. Atbilstoši  minētajām normām Iekšlietu ministrijas Informācijas centrs </w:t>
            </w:r>
            <w:r>
              <w:rPr>
                <w:rFonts w:ascii="Times New Roman" w:hAnsi="Times New Roman" w:cs="Times New Roman"/>
                <w:color w:val="000000"/>
                <w:szCs w:val="24"/>
                <w:lang w:eastAsia="lv-LV"/>
              </w:rPr>
              <w:t xml:space="preserve">sniegs Ceļu satiksmes drošības direkcijai arī ziņas par negadījumos ievainoto personu ievainojumu smaguma pakāpi atbilstoši </w:t>
            </w:r>
            <w:r>
              <w:rPr>
                <w:rFonts w:ascii="Times New Roman" w:hAnsi="Times New Roman" w:cs="Times New Roman"/>
                <w:i/>
                <w:iCs/>
                <w:color w:val="000000"/>
                <w:szCs w:val="24"/>
                <w:lang w:eastAsia="lv-LV"/>
              </w:rPr>
              <w:t xml:space="preserve">MAIS. </w:t>
            </w:r>
            <w:r>
              <w:rPr>
                <w:rFonts w:ascii="Times New Roman" w:hAnsi="Times New Roman" w:cs="Times New Roman"/>
                <w:color w:val="000000"/>
                <w:szCs w:val="24"/>
                <w:lang w:eastAsia="lv-LV"/>
              </w:rPr>
              <w:t>Savukārt</w:t>
            </w:r>
            <w:r>
              <w:rPr>
                <w:rFonts w:ascii="Times New Roman" w:hAnsi="Times New Roman" w:cs="Times New Roman"/>
                <w:i/>
                <w:iCs/>
                <w:color w:val="000000"/>
                <w:szCs w:val="24"/>
                <w:lang w:eastAsia="lv-LV"/>
              </w:rPr>
              <w:t xml:space="preserve"> </w:t>
            </w:r>
            <w:r>
              <w:rPr>
                <w:rFonts w:ascii="Times New Roman" w:hAnsi="Times New Roman" w:cs="Times New Roman"/>
                <w:color w:val="000000"/>
                <w:szCs w:val="24"/>
                <w:lang w:eastAsia="lv-LV"/>
              </w:rPr>
              <w:t xml:space="preserve">Ceļu  satiksmes drošības direkcija, pamatojoties uz saņemtajām ziņām, nodrošinās statistiku par negadījumos ievainotajām personām atbilstoši </w:t>
            </w:r>
            <w:r>
              <w:rPr>
                <w:rFonts w:ascii="Times New Roman" w:hAnsi="Times New Roman" w:cs="Times New Roman"/>
                <w:i/>
                <w:iCs/>
                <w:color w:val="000000"/>
                <w:szCs w:val="24"/>
                <w:lang w:eastAsia="lv-LV"/>
              </w:rPr>
              <w:t xml:space="preserve">MAIS </w:t>
            </w:r>
            <w:r>
              <w:rPr>
                <w:rFonts w:ascii="Times New Roman" w:hAnsi="Times New Roman" w:cs="Times New Roman"/>
                <w:color w:val="000000"/>
                <w:szCs w:val="24"/>
                <w:lang w:eastAsia="lv-LV"/>
              </w:rPr>
              <w:t>un tās analīzi.</w:t>
            </w:r>
          </w:p>
          <w:p w:rsidR="003175D9" w:rsidRDefault="00351BFE">
            <w:pPr>
              <w:pStyle w:val="NoSpacing"/>
              <w:spacing w:before="120"/>
              <w:jc w:val="both"/>
              <w:rPr>
                <w:szCs w:val="24"/>
              </w:rPr>
            </w:pPr>
            <w:r>
              <w:rPr>
                <w:rFonts w:ascii="Times New Roman" w:hAnsi="Times New Roman" w:cs="Times New Roman"/>
                <w:color w:val="000000"/>
                <w:szCs w:val="24"/>
                <w:lang w:eastAsia="lv-LV"/>
              </w:rPr>
              <w:t>Minētajā Valsts kontroles revīzijas ziņojumā norādīts arī uz nepilnībām uzkrātajos datos par n</w:t>
            </w:r>
            <w:r>
              <w:rPr>
                <w:rFonts w:ascii="Times New Roman" w:hAnsi="Times New Roman" w:cs="Times New Roman"/>
                <w:color w:val="000000"/>
                <w:szCs w:val="24"/>
                <w:lang w:eastAsia="lv-LV"/>
              </w:rPr>
              <w:t>egadījumiem un informācijas analīzē, tostarp, uz to,  protokolā un Reģistrā norādītais ceļu satiksmes negadījuma iemesls vai to kopums bieži bez padziļinātas negadījumu apstākļu analīzes nevar tikt uzskatīts par negadījuma iemeslu. Tā noskaidrošanai nepiec</w:t>
            </w:r>
            <w:r>
              <w:rPr>
                <w:rFonts w:ascii="Times New Roman" w:hAnsi="Times New Roman" w:cs="Times New Roman"/>
                <w:color w:val="000000"/>
                <w:szCs w:val="24"/>
                <w:lang w:eastAsia="lv-LV"/>
              </w:rPr>
              <w:t xml:space="preserve">iešama padziļināta izpēte vai ekspertīze. Turklāt dati arī pēc veiktajām ekspertīzēm (ierosinātas krimināllietas ietvaros) netiek ievadīti Reģistrā, tādējādi netiek nodrošināta atgriezeniskā saite par izpētītajiem smago negadījumu iemesliem. </w:t>
            </w:r>
          </w:p>
          <w:p w:rsidR="003175D9" w:rsidRDefault="00351BFE">
            <w:pPr>
              <w:pStyle w:val="NoSpacing"/>
              <w:spacing w:before="120"/>
              <w:jc w:val="both"/>
              <w:rPr>
                <w:szCs w:val="24"/>
              </w:rPr>
            </w:pPr>
            <w:r>
              <w:rPr>
                <w:rFonts w:ascii="Times New Roman" w:hAnsi="Times New Roman" w:cs="Times New Roman"/>
                <w:color w:val="000000"/>
                <w:szCs w:val="24"/>
                <w:lang w:eastAsia="lv-LV"/>
              </w:rPr>
              <w:t>Atbilstoši No</w:t>
            </w:r>
            <w:r>
              <w:rPr>
                <w:rFonts w:ascii="Times New Roman" w:hAnsi="Times New Roman" w:cs="Times New Roman"/>
                <w:color w:val="000000"/>
                <w:szCs w:val="24"/>
                <w:lang w:eastAsia="lv-LV"/>
              </w:rPr>
              <w:t xml:space="preserve">teikumiem Nr.75 šobrīd Reģistrā datus iespējams aktualizēt tikai pamatojoties uz ārstniecības iestāžu sniegto informāciju. Lai Reģistrā aktualizētu </w:t>
            </w:r>
            <w:r>
              <w:rPr>
                <w:rFonts w:ascii="Times New Roman" w:hAnsi="Times New Roman" w:cs="Times New Roman"/>
                <w:color w:val="000000"/>
                <w:szCs w:val="24"/>
                <w:lang w:eastAsia="lv-LV"/>
              </w:rPr>
              <w:lastRenderedPageBreak/>
              <w:t xml:space="preserve">datus par negadījuma iemesliem, Noteikumos Nr.75 nepieciešami attiecīgi grozījumi. </w:t>
            </w:r>
          </w:p>
          <w:p w:rsidR="003175D9" w:rsidRDefault="00351BFE">
            <w:pPr>
              <w:pStyle w:val="NoSpacing"/>
              <w:spacing w:before="120"/>
              <w:jc w:val="both"/>
              <w:rPr>
                <w:szCs w:val="24"/>
              </w:rPr>
            </w:pPr>
            <w:r>
              <w:rPr>
                <w:rFonts w:ascii="Times New Roman" w:hAnsi="Times New Roman" w:cs="Times New Roman"/>
                <w:color w:val="000000"/>
                <w:szCs w:val="24"/>
                <w:lang w:eastAsia="lv-LV"/>
              </w:rPr>
              <w:t>Saskaņā ar Ministru kabi</w:t>
            </w:r>
            <w:r>
              <w:rPr>
                <w:rFonts w:ascii="Times New Roman" w:hAnsi="Times New Roman" w:cs="Times New Roman"/>
                <w:color w:val="000000"/>
                <w:szCs w:val="24"/>
                <w:lang w:eastAsia="lv-LV"/>
              </w:rPr>
              <w:t xml:space="preserve">neta 2015. gada 2. jūnija noteikumu Nr. 279 “Ceļu satiksmes noteikumi” </w:t>
            </w:r>
            <w:bookmarkStart w:id="3" w:name="p40"/>
            <w:bookmarkEnd w:id="3"/>
            <w:r>
              <w:rPr>
                <w:rFonts w:ascii="Times New Roman" w:hAnsi="Times New Roman" w:cs="Times New Roman"/>
                <w:color w:val="000000"/>
                <w:szCs w:val="24"/>
                <w:lang w:eastAsia="lv-LV"/>
              </w:rPr>
              <w:t xml:space="preserve">40.2. apakšpunktu, ja </w:t>
            </w:r>
            <w:r>
              <w:rPr>
                <w:rFonts w:ascii="Times New Roman" w:hAnsi="Times New Roman" w:cs="Times New Roman"/>
                <w:color w:val="414142"/>
                <w:szCs w:val="24"/>
              </w:rPr>
              <w:t>negadījumā nav cietuši cilvēki, nav nodarīti bojājumi trešās personas mantai, kā arī transportlīdzekļiem nav radušies bojājumi, kuru dēļ tie nevar vai tiem aizlieg</w:t>
            </w:r>
            <w:r>
              <w:rPr>
                <w:rFonts w:ascii="Times New Roman" w:hAnsi="Times New Roman" w:cs="Times New Roman"/>
                <w:color w:val="414142"/>
                <w:szCs w:val="24"/>
              </w:rPr>
              <w:t>ts braukt, transportlīdzekļa vadītājs vienojas ar otra negadījumā iesaistītā transportlīdzekļa vadītāju par visiem būtiskajiem negadījuma apstākļiem, aizpilda saskaņoto paziņojumu un, neziņojot policijai par negadījumu, atstāj negadījuma vietu.</w:t>
            </w:r>
          </w:p>
          <w:p w:rsidR="003175D9" w:rsidRDefault="00351BFE">
            <w:pPr>
              <w:pStyle w:val="NoSpacing"/>
              <w:spacing w:before="120"/>
              <w:jc w:val="both"/>
              <w:rPr>
                <w:szCs w:val="24"/>
              </w:rPr>
            </w:pPr>
            <w:r>
              <w:rPr>
                <w:rFonts w:ascii="Times New Roman" w:hAnsi="Times New Roman" w:cs="Times New Roman"/>
                <w:color w:val="414142"/>
                <w:szCs w:val="24"/>
                <w:lang w:eastAsia="lv-LV"/>
              </w:rPr>
              <w:t>Negadījumi,</w:t>
            </w:r>
            <w:r>
              <w:rPr>
                <w:rFonts w:ascii="Times New Roman" w:hAnsi="Times New Roman" w:cs="Times New Roman"/>
                <w:color w:val="414142"/>
                <w:szCs w:val="24"/>
                <w:lang w:eastAsia="lv-LV"/>
              </w:rPr>
              <w:t xml:space="preserve"> kas pieteikti apdrošinātājiem vai Latvijas Transportlīdzekļu apdrošinātāju birojā, pamatojoties uz saskaņoto paziņojumu, tiek reģistrēti Latvijas Transportlīdzekļu </w:t>
            </w:r>
            <w:r>
              <w:rPr>
                <w:rFonts w:ascii="Times New Roman" w:hAnsi="Times New Roman" w:cs="Times New Roman"/>
                <w:color w:val="414142"/>
                <w:szCs w:val="24"/>
              </w:rPr>
              <w:t>apdrošinātāju biroja datubāzē.</w:t>
            </w:r>
          </w:p>
          <w:p w:rsidR="003175D9" w:rsidRDefault="00351BFE">
            <w:pPr>
              <w:pStyle w:val="NoSpacing"/>
              <w:spacing w:before="120"/>
              <w:jc w:val="both"/>
              <w:rPr>
                <w:szCs w:val="24"/>
              </w:rPr>
            </w:pPr>
            <w:r>
              <w:rPr>
                <w:rFonts w:ascii="Times New Roman" w:hAnsi="Times New Roman" w:cs="Times New Roman"/>
                <w:color w:val="414142"/>
                <w:szCs w:val="24"/>
              </w:rPr>
              <w:t>Praksē dati par šādiem negadījumiem Reģistrā netiek reģistrē</w:t>
            </w:r>
            <w:r>
              <w:rPr>
                <w:rFonts w:ascii="Times New Roman" w:hAnsi="Times New Roman" w:cs="Times New Roman"/>
                <w:color w:val="414142"/>
                <w:szCs w:val="24"/>
              </w:rPr>
              <w:t xml:space="preserve">ti, taču grozījumi Noteikumos Nr. 75, lai tos saskaņotu ar citiem normatīvajiem aktiem, līdz šim nav sagatavoti. </w:t>
            </w:r>
          </w:p>
          <w:p w:rsidR="003175D9" w:rsidRDefault="00351BFE">
            <w:pPr>
              <w:pStyle w:val="NoSpacing"/>
              <w:spacing w:before="120"/>
              <w:jc w:val="both"/>
              <w:rPr>
                <w:szCs w:val="24"/>
              </w:rPr>
            </w:pPr>
            <w:r>
              <w:rPr>
                <w:rFonts w:ascii="Times New Roman" w:hAnsi="Times New Roman" w:cs="Times New Roman"/>
                <w:color w:val="000000"/>
                <w:szCs w:val="24"/>
              </w:rPr>
              <w:t>Pēdējā laikā Latvijā, līdzīgi kā citās Eiropas valstīs, populāri ir kļuvuši elektroskrejriteņi. Palielinoties elektroskrejriteņu skaitam, piea</w:t>
            </w:r>
            <w:r>
              <w:rPr>
                <w:rFonts w:ascii="Times New Roman" w:hAnsi="Times New Roman" w:cs="Times New Roman"/>
                <w:color w:val="000000"/>
                <w:szCs w:val="24"/>
              </w:rPr>
              <w:t xml:space="preserve">uguši arī riski satiksmes drošībai. </w:t>
            </w:r>
            <w:r>
              <w:rPr>
                <w:color w:val="000000"/>
                <w:szCs w:val="24"/>
              </w:rPr>
              <w:t xml:space="preserve">2018. gadā negadījumos, kuros iesaistīts elektroskrejritenis, tika ievainotas divas personas, </w:t>
            </w:r>
            <w:r>
              <w:rPr>
                <w:rFonts w:ascii="Times New Roman" w:hAnsi="Times New Roman" w:cs="Times New Roman"/>
                <w:color w:val="000000"/>
                <w:szCs w:val="24"/>
              </w:rPr>
              <w:t>2019. gada 10 mēnešos – ievainotas 35 personas un gājušas bojā divas personas. Lai reglamentētu elektroskrejriteņu izmantošana</w:t>
            </w:r>
            <w:r>
              <w:rPr>
                <w:rFonts w:ascii="Times New Roman" w:hAnsi="Times New Roman" w:cs="Times New Roman"/>
                <w:color w:val="000000"/>
                <w:szCs w:val="24"/>
              </w:rPr>
              <w:t>s kārtību ceļu satiksmē,  Satiksmes ministrija ir sagatavojusi grozījumus Ceļu satiksmes likumā. Lai nodrošinātu negadījumu, kuros iesaistīti elektroskrejriteņu vadītāji, precīzu statistisko uzskaiti, Noteikumus Nr. 75 nepieciešams papildināt ar jauna nega</w:t>
            </w:r>
            <w:r>
              <w:rPr>
                <w:rFonts w:ascii="Times New Roman" w:hAnsi="Times New Roman" w:cs="Times New Roman"/>
                <w:color w:val="000000"/>
                <w:szCs w:val="24"/>
              </w:rPr>
              <w:t xml:space="preserve">dījuma veidu – uzbraukums elektroskrejriteņa vadītājam un tā skaidrojumu. </w:t>
            </w:r>
          </w:p>
          <w:p w:rsidR="003175D9" w:rsidRDefault="00351BFE">
            <w:pPr>
              <w:spacing w:before="120"/>
              <w:jc w:val="both"/>
            </w:pPr>
            <w:r>
              <w:rPr>
                <w:rFonts w:ascii="Times New Roman" w:hAnsi="Times New Roman" w:cs="Times New Roman"/>
                <w:b/>
                <w:bCs/>
                <w:i/>
                <w:iCs/>
                <w:lang w:eastAsia="lv-LV"/>
              </w:rPr>
              <w:t>Tiesiskā regulējuma mērķis un būtība</w:t>
            </w:r>
          </w:p>
          <w:p w:rsidR="003175D9" w:rsidRDefault="00351BFE">
            <w:pPr>
              <w:spacing w:before="120"/>
              <w:jc w:val="both"/>
            </w:pPr>
            <w:r>
              <w:rPr>
                <w:rFonts w:ascii="Times New Roman" w:hAnsi="Times New Roman" w:cs="Times New Roman"/>
                <w:color w:val="000000"/>
                <w:lang w:eastAsia="lv-LV"/>
              </w:rPr>
              <w:t xml:space="preserve">Projekta mērķis ir nodrošināt derīgus, ticamus un salīdzināmus datus par negadījumiem un tajos smagi ievainotajiem. </w:t>
            </w:r>
          </w:p>
          <w:p w:rsidR="003175D9" w:rsidRDefault="00351BFE">
            <w:pPr>
              <w:spacing w:before="120"/>
              <w:jc w:val="both"/>
            </w:pPr>
            <w:r>
              <w:rPr>
                <w:rFonts w:ascii="Times New Roman" w:hAnsi="Times New Roman" w:cs="Times New Roman"/>
                <w:lang w:eastAsia="lv-LV"/>
              </w:rPr>
              <w:t>P</w:t>
            </w:r>
            <w:r>
              <w:rPr>
                <w:rFonts w:ascii="Times New Roman" w:hAnsi="Times New Roman" w:cs="Times New Roman"/>
              </w:rPr>
              <w:t>rojekts paredz:</w:t>
            </w:r>
          </w:p>
          <w:p w:rsidR="003175D9" w:rsidRDefault="00351BFE">
            <w:pPr>
              <w:spacing w:before="120"/>
              <w:jc w:val="both"/>
            </w:pPr>
            <w:r>
              <w:rPr>
                <w:rFonts w:ascii="Times New Roman" w:hAnsi="Times New Roman" w:cs="Times New Roman"/>
                <w:color w:val="000000"/>
              </w:rPr>
              <w:t xml:space="preserve">1. </w:t>
            </w:r>
            <w:r>
              <w:rPr>
                <w:rFonts w:ascii="Times New Roman" w:hAnsi="Times New Roman" w:cs="Times New Roman"/>
                <w:color w:val="000000"/>
              </w:rPr>
              <w:t>precizēt negadījumā smagi ievainotās personas un viegli ievainotās personas definīciju.</w:t>
            </w:r>
          </w:p>
          <w:p w:rsidR="003175D9" w:rsidRDefault="00351BFE">
            <w:pPr>
              <w:spacing w:before="120"/>
              <w:jc w:val="both"/>
            </w:pPr>
            <w:r>
              <w:rPr>
                <w:rFonts w:ascii="Times New Roman" w:hAnsi="Times New Roman" w:cs="Times New Roman"/>
                <w:color w:val="000000"/>
              </w:rPr>
              <w:t>2. precizēt ziņu apjomu, kas protokolā un Reģistrā tiek reģistrēts par  negadījumu;</w:t>
            </w:r>
          </w:p>
          <w:p w:rsidR="003175D9" w:rsidRDefault="00351BFE">
            <w:pPr>
              <w:spacing w:before="120"/>
              <w:jc w:val="both"/>
            </w:pPr>
            <w:r>
              <w:rPr>
                <w:rFonts w:ascii="Times New Roman" w:hAnsi="Times New Roman" w:cs="Times New Roman"/>
                <w:color w:val="000000"/>
              </w:rPr>
              <w:t xml:space="preserve">3. saskaņojot noteikumus Nr. 75 ar citiem </w:t>
            </w:r>
            <w:r>
              <w:rPr>
                <w:rFonts w:ascii="Times New Roman" w:hAnsi="Times New Roman" w:cs="Times New Roman"/>
                <w:color w:val="000000"/>
              </w:rPr>
              <w:lastRenderedPageBreak/>
              <w:t>normatīvajiem aktiem, noteikt, ka Reģistrā</w:t>
            </w:r>
            <w:r>
              <w:rPr>
                <w:rFonts w:ascii="Times New Roman" w:hAnsi="Times New Roman" w:cs="Times New Roman"/>
                <w:color w:val="000000"/>
              </w:rPr>
              <w:t xml:space="preserve"> netiek reģistrēti negadījumi, par kuriem negadījumā iesaistīto transportlīdzekļu vadītāji normatīvajos aktos ceļu satiksmes jomā noteiktajā kārtībā ir vienojušies par visiem būtiskajiem negadījuma apstākļiem un par negadījumu aizpildījuši saskaņoto paziņo</w:t>
            </w:r>
            <w:r>
              <w:rPr>
                <w:rFonts w:ascii="Times New Roman" w:hAnsi="Times New Roman" w:cs="Times New Roman"/>
                <w:color w:val="000000"/>
              </w:rPr>
              <w:t>jumu;</w:t>
            </w:r>
          </w:p>
          <w:p w:rsidR="003175D9" w:rsidRDefault="00351BFE">
            <w:pPr>
              <w:spacing w:before="120"/>
              <w:jc w:val="both"/>
            </w:pPr>
            <w:r>
              <w:rPr>
                <w:rFonts w:ascii="Times New Roman" w:hAnsi="Times New Roman" w:cs="Times New Roman"/>
                <w:color w:val="000000"/>
              </w:rPr>
              <w:t>4. noteikt, ka Valsts policija Reģistrā ievadītās ziņas par negadījuma iemesliem  aktualizē atbilstoši institūciju nolēmumiem lietās par pārkāpumiem ceļu satiksmes jomā;</w:t>
            </w:r>
          </w:p>
          <w:p w:rsidR="003175D9" w:rsidRDefault="00351BFE">
            <w:pPr>
              <w:spacing w:before="120"/>
              <w:jc w:val="both"/>
            </w:pPr>
            <w:r>
              <w:rPr>
                <w:rFonts w:ascii="Times New Roman" w:hAnsi="Times New Roman" w:cs="Times New Roman"/>
                <w:color w:val="000000"/>
              </w:rPr>
              <w:t>5. svītrot nosacījumu, ka Valsts policijai uz pieprasījumu par ziņu sniegšanu  n</w:t>
            </w:r>
            <w:r>
              <w:rPr>
                <w:rFonts w:ascii="Times New Roman" w:hAnsi="Times New Roman" w:cs="Times New Roman"/>
                <w:color w:val="000000"/>
              </w:rPr>
              <w:t>o Reģistra atbild papīra formā.</w:t>
            </w:r>
          </w:p>
          <w:p w:rsidR="003175D9" w:rsidRDefault="00351BFE">
            <w:pPr>
              <w:spacing w:before="120"/>
              <w:jc w:val="both"/>
            </w:pPr>
            <w:r>
              <w:rPr>
                <w:rFonts w:ascii="Times New Roman" w:hAnsi="Times New Roman" w:cs="Times New Roman"/>
                <w:color w:val="000000"/>
              </w:rPr>
              <w:t>6. papildināt negadījumu veidu klasifikāciju ar jaunu veidu – uzbraukums elekroskrejriteņa vadītājam un tā skaidrojumu.</w:t>
            </w:r>
          </w:p>
          <w:p w:rsidR="003175D9" w:rsidRDefault="003175D9">
            <w:pPr>
              <w:spacing w:before="120"/>
              <w:jc w:val="both"/>
              <w:rPr>
                <w:rFonts w:ascii="Times New Roman" w:hAnsi="Times New Roman" w:cs="Times New Roman"/>
                <w:color w:val="000000"/>
              </w:rPr>
            </w:pPr>
          </w:p>
        </w:tc>
      </w:tr>
      <w:tr w:rsidR="003175D9">
        <w:tc>
          <w:tcPr>
            <w:tcW w:w="39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lastRenderedPageBreak/>
              <w:t>3.</w:t>
            </w:r>
          </w:p>
        </w:tc>
        <w:tc>
          <w:tcPr>
            <w:tcW w:w="323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Projekta izstrādē iesaistītās institūcijas un publiskas personas kapitālsabiedrības</w:t>
            </w:r>
          </w:p>
        </w:tc>
        <w:tc>
          <w:tcPr>
            <w:tcW w:w="5500"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rPr>
                <w:rFonts w:ascii="Times New Roman" w:hAnsi="Times New Roman" w:cs="Times New Roman"/>
              </w:rPr>
            </w:pPr>
            <w:r>
              <w:rPr>
                <w:rFonts w:ascii="Times New Roman" w:hAnsi="Times New Roman" w:cs="Times New Roman"/>
                <w:color w:val="000000"/>
                <w:lang w:eastAsia="lv-LV"/>
              </w:rPr>
              <w:t>Iekšlietu minis</w:t>
            </w:r>
            <w:r>
              <w:rPr>
                <w:rFonts w:ascii="Times New Roman" w:hAnsi="Times New Roman" w:cs="Times New Roman"/>
                <w:color w:val="000000"/>
                <w:lang w:eastAsia="lv-LV"/>
              </w:rPr>
              <w:t>trija, Satiksmes ministrija, Veselības ministrija, Valsts policija, Iekšlietu ministrijas Informācijas centrs.</w:t>
            </w:r>
          </w:p>
        </w:tc>
      </w:tr>
      <w:tr w:rsidR="003175D9">
        <w:tc>
          <w:tcPr>
            <w:tcW w:w="39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4.</w:t>
            </w:r>
          </w:p>
        </w:tc>
        <w:tc>
          <w:tcPr>
            <w:tcW w:w="323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Cita informācija</w:t>
            </w:r>
          </w:p>
        </w:tc>
        <w:tc>
          <w:tcPr>
            <w:tcW w:w="5500"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Nav.</w:t>
            </w:r>
          </w:p>
        </w:tc>
      </w:tr>
    </w:tbl>
    <w:p w:rsidR="003175D9" w:rsidRDefault="00351BFE">
      <w:pPr>
        <w:rPr>
          <w:rFonts w:ascii="Times New Roman" w:hAnsi="Times New Roman" w:cs="Times New Roman"/>
          <w:lang w:eastAsia="lv-LV"/>
        </w:rPr>
      </w:pPr>
      <w:r>
        <w:rPr>
          <w:rFonts w:ascii="Times New Roman" w:hAnsi="Times New Roman" w:cs="Times New Roman"/>
          <w:lang w:eastAsia="lv-LV"/>
        </w:rPr>
        <w:t xml:space="preserve">  </w:t>
      </w: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419"/>
        <w:gridCol w:w="3227"/>
        <w:gridCol w:w="5467"/>
      </w:tblGrid>
      <w:tr w:rsidR="003175D9">
        <w:tc>
          <w:tcPr>
            <w:tcW w:w="9071"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b/>
                <w:bCs/>
                <w:lang w:eastAsia="lv-LV"/>
              </w:rPr>
            </w:pPr>
            <w:r>
              <w:rPr>
                <w:rFonts w:ascii="Times New Roman" w:hAnsi="Times New Roman" w:cs="Times New Roman"/>
                <w:b/>
                <w:bCs/>
                <w:lang w:eastAsia="lv-LV"/>
              </w:rPr>
              <w:t>II. Tiesību akta projekta ietekme uz sabiedrību, tautsaimniecības attīstību un administratīvo slogu</w:t>
            </w:r>
          </w:p>
        </w:tc>
      </w:tr>
      <w:tr w:rsidR="003175D9">
        <w:tc>
          <w:tcPr>
            <w:tcW w:w="41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1.</w:t>
            </w:r>
          </w:p>
        </w:tc>
        <w:tc>
          <w:tcPr>
            <w:tcW w:w="321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rPr>
            </w:pPr>
            <w:r>
              <w:rPr>
                <w:rFonts w:ascii="Times New Roman" w:hAnsi="Times New Roman" w:cs="Times New Roman"/>
                <w:lang w:eastAsia="lv-LV"/>
              </w:rPr>
              <w:t>Sabiedrības</w:t>
            </w:r>
            <w:r>
              <w:rPr>
                <w:rFonts w:ascii="Times New Roman" w:hAnsi="Times New Roman" w:cs="Times New Roman"/>
                <w:lang w:eastAsia="lv-LV"/>
              </w:rPr>
              <w:t xml:space="preserve"> mērķgrupas, kuras tiesiskais regulējums ietekmē vai varētu ietekmēt</w:t>
            </w:r>
          </w:p>
        </w:tc>
        <w:tc>
          <w:tcPr>
            <w:tcW w:w="544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color w:val="000000"/>
              </w:rPr>
            </w:pPr>
            <w:bookmarkStart w:id="4" w:name="__DdeLink__832_3512075808"/>
            <w:r>
              <w:rPr>
                <w:rFonts w:ascii="Times New Roman" w:hAnsi="Times New Roman" w:cs="Times New Roman"/>
                <w:color w:val="000000"/>
                <w:lang w:eastAsia="lv-LV"/>
              </w:rPr>
              <w:t>Tiesiskais regulējums ietekmē Valsts policiju, Iekšlietu ministrijas Informācijas centru, Nacionālo veselības dienestu, valsts akciju sabiedrību “Ceļu satiksmes drošības direkcija”, perso</w:t>
            </w:r>
            <w:r>
              <w:rPr>
                <w:rFonts w:ascii="Times New Roman" w:hAnsi="Times New Roman" w:cs="Times New Roman"/>
                <w:color w:val="000000"/>
                <w:lang w:eastAsia="lv-LV"/>
              </w:rPr>
              <w:t>nas, kuras iesaistītas ceļu satiksmes negadījumos</w:t>
            </w:r>
            <w:bookmarkEnd w:id="4"/>
            <w:r>
              <w:rPr>
                <w:rFonts w:ascii="Times New Roman" w:hAnsi="Times New Roman" w:cs="Times New Roman"/>
                <w:color w:val="000000"/>
                <w:lang w:eastAsia="lv-LV"/>
              </w:rPr>
              <w:t>.</w:t>
            </w:r>
          </w:p>
          <w:p w:rsidR="003175D9" w:rsidRDefault="003175D9">
            <w:pPr>
              <w:rPr>
                <w:rFonts w:ascii="Times New Roman" w:hAnsi="Times New Roman" w:cs="Times New Roman"/>
                <w:lang w:eastAsia="lv-LV"/>
              </w:rPr>
            </w:pPr>
          </w:p>
        </w:tc>
      </w:tr>
      <w:tr w:rsidR="003175D9">
        <w:tc>
          <w:tcPr>
            <w:tcW w:w="41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2.</w:t>
            </w:r>
          </w:p>
        </w:tc>
        <w:tc>
          <w:tcPr>
            <w:tcW w:w="321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Tiesiskā regulējuma ietekme uz tautsaimniecību un administratīvo slogu</w:t>
            </w:r>
          </w:p>
        </w:tc>
        <w:tc>
          <w:tcPr>
            <w:tcW w:w="544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rPr>
                <w:rFonts w:ascii="Times New Roman" w:hAnsi="Times New Roman" w:cs="Times New Roman"/>
                <w:color w:val="CE181E"/>
                <w:lang w:eastAsia="lv-LV"/>
              </w:rPr>
            </w:pPr>
            <w:r>
              <w:rPr>
                <w:rFonts w:ascii="Times New Roman" w:hAnsi="Times New Roman" w:cs="Times New Roman"/>
                <w:color w:val="000000"/>
                <w:lang w:eastAsia="lv-LV"/>
              </w:rPr>
              <w:t>Projekts šo jomu neskar.</w:t>
            </w:r>
          </w:p>
        </w:tc>
      </w:tr>
      <w:tr w:rsidR="003175D9">
        <w:tc>
          <w:tcPr>
            <w:tcW w:w="41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3.</w:t>
            </w:r>
          </w:p>
        </w:tc>
        <w:tc>
          <w:tcPr>
            <w:tcW w:w="321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Administratīvo izmaksu monetārs novērtējums</w:t>
            </w:r>
          </w:p>
        </w:tc>
        <w:tc>
          <w:tcPr>
            <w:tcW w:w="544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ind w:right="79"/>
              <w:jc w:val="both"/>
              <w:rPr>
                <w:rFonts w:ascii="Times New Roman" w:hAnsi="Times New Roman" w:cs="Times New Roman"/>
                <w:color w:val="CE181E"/>
                <w:lang w:eastAsia="lv-LV"/>
              </w:rPr>
            </w:pPr>
            <w:r>
              <w:rPr>
                <w:rFonts w:ascii="Times New Roman" w:hAnsi="Times New Roman" w:cs="Times New Roman"/>
                <w:color w:val="000000"/>
                <w:lang w:eastAsia="lv-LV"/>
              </w:rPr>
              <w:t>Projekts šo jomu neskar.</w:t>
            </w:r>
          </w:p>
        </w:tc>
      </w:tr>
      <w:tr w:rsidR="003175D9">
        <w:tc>
          <w:tcPr>
            <w:tcW w:w="41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4.</w:t>
            </w:r>
          </w:p>
        </w:tc>
        <w:tc>
          <w:tcPr>
            <w:tcW w:w="321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 xml:space="preserve">Atbilstības izmaksu </w:t>
            </w:r>
            <w:r>
              <w:rPr>
                <w:rFonts w:ascii="Times New Roman" w:hAnsi="Times New Roman" w:cs="Times New Roman"/>
                <w:lang w:eastAsia="lv-LV"/>
              </w:rPr>
              <w:t>monetārs novērtējums</w:t>
            </w:r>
          </w:p>
        </w:tc>
        <w:tc>
          <w:tcPr>
            <w:tcW w:w="544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pStyle w:val="naiskr"/>
              <w:spacing w:before="0" w:after="0"/>
              <w:ind w:right="81"/>
            </w:pPr>
            <w:r>
              <w:t>Projekts šo jomu neskar.</w:t>
            </w:r>
          </w:p>
        </w:tc>
      </w:tr>
      <w:tr w:rsidR="003175D9">
        <w:tc>
          <w:tcPr>
            <w:tcW w:w="417"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5.</w:t>
            </w:r>
          </w:p>
        </w:tc>
        <w:tc>
          <w:tcPr>
            <w:tcW w:w="321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Cita informācija</w:t>
            </w:r>
          </w:p>
        </w:tc>
        <w:tc>
          <w:tcPr>
            <w:tcW w:w="5442"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Nav.</w:t>
            </w:r>
          </w:p>
        </w:tc>
      </w:tr>
    </w:tbl>
    <w:p w:rsidR="003175D9" w:rsidRDefault="003175D9">
      <w:pPr>
        <w:rPr>
          <w:rFonts w:ascii="Times New Roman" w:hAnsi="Times New Roman" w:cs="Times New Roman"/>
          <w:lang w:eastAsia="lv-LV"/>
        </w:rPr>
      </w:pP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9113"/>
      </w:tblGrid>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rPr>
            </w:pPr>
            <w:r>
              <w:rPr>
                <w:rFonts w:ascii="Times New Roman" w:hAnsi="Times New Roman" w:cs="Times New Roman"/>
                <w:b/>
                <w:bCs/>
                <w:color w:val="385623"/>
                <w:lang w:eastAsia="lv-LV"/>
              </w:rPr>
              <w:t xml:space="preserve"> </w:t>
            </w:r>
            <w:r>
              <w:rPr>
                <w:rFonts w:ascii="Times New Roman" w:hAnsi="Times New Roman" w:cs="Times New Roman"/>
                <w:b/>
                <w:bCs/>
                <w:lang w:eastAsia="lv-LV"/>
              </w:rPr>
              <w:t>III. Tiesību akta projekta ietekme uz valsts budžetu un pašvaldību budžetiem</w:t>
            </w:r>
          </w:p>
        </w:tc>
      </w:tr>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jc w:val="center"/>
              <w:rPr>
                <w:rFonts w:ascii="Times New Roman" w:hAnsi="Times New Roman" w:cs="Times New Roman"/>
                <w:lang w:eastAsia="lv-LV"/>
              </w:rPr>
            </w:pPr>
            <w:r>
              <w:rPr>
                <w:rFonts w:ascii="Times New Roman" w:hAnsi="Times New Roman" w:cs="Times New Roman"/>
                <w:lang w:eastAsia="lv-LV"/>
              </w:rPr>
              <w:t>Projekts šo jomu neskar.</w:t>
            </w:r>
          </w:p>
        </w:tc>
      </w:tr>
    </w:tbl>
    <w:p w:rsidR="003175D9" w:rsidRDefault="00351BFE">
      <w:pPr>
        <w:rPr>
          <w:rFonts w:ascii="Times New Roman" w:hAnsi="Times New Roman" w:cs="Times New Roman"/>
          <w:color w:val="385623"/>
          <w:lang w:eastAsia="lv-LV"/>
        </w:rPr>
      </w:pPr>
      <w:r>
        <w:rPr>
          <w:rFonts w:ascii="Times New Roman" w:hAnsi="Times New Roman" w:cs="Times New Roman"/>
          <w:color w:val="385623"/>
          <w:lang w:eastAsia="lv-LV"/>
        </w:rPr>
        <w:t xml:space="preserve">  </w:t>
      </w: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9113"/>
      </w:tblGrid>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b/>
                <w:bCs/>
                <w:lang w:eastAsia="lv-LV"/>
              </w:rPr>
            </w:pPr>
            <w:r>
              <w:rPr>
                <w:rFonts w:ascii="Times New Roman" w:hAnsi="Times New Roman" w:cs="Times New Roman"/>
                <w:b/>
                <w:bCs/>
                <w:lang w:eastAsia="lv-LV"/>
              </w:rPr>
              <w:t xml:space="preserve"> IV. Tiesību akta projekta ietekme uz spēkā esošo tiesību normu sistēmu</w:t>
            </w:r>
          </w:p>
        </w:tc>
      </w:tr>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jc w:val="center"/>
            </w:pPr>
            <w:r>
              <w:rPr>
                <w:rFonts w:ascii="Times New Roman" w:hAnsi="Times New Roman" w:cs="Times New Roman"/>
                <w:lang w:eastAsia="lv-LV"/>
              </w:rPr>
              <w:t>Projekts šo jomu neskar.</w:t>
            </w:r>
          </w:p>
        </w:tc>
      </w:tr>
    </w:tbl>
    <w:p w:rsidR="003175D9" w:rsidRDefault="003175D9">
      <w:pPr>
        <w:rPr>
          <w:rFonts w:ascii="Times New Roman" w:hAnsi="Times New Roman" w:cs="Times New Roman"/>
          <w:lang w:eastAsia="lv-LV"/>
        </w:rPr>
      </w:pP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9113"/>
      </w:tblGrid>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b/>
                <w:bCs/>
                <w:lang w:eastAsia="lv-LV"/>
              </w:rPr>
            </w:pPr>
            <w:r>
              <w:rPr>
                <w:rFonts w:ascii="Times New Roman" w:hAnsi="Times New Roman" w:cs="Times New Roman"/>
                <w:b/>
                <w:bCs/>
                <w:lang w:eastAsia="lv-LV"/>
              </w:rPr>
              <w:t xml:space="preserve"> V. Tiesību akta projekta atbilstība Latvijas Republikas starptautiskajām saistībām</w:t>
            </w:r>
          </w:p>
        </w:tc>
      </w:tr>
      <w:tr w:rsidR="003175D9">
        <w:tc>
          <w:tcPr>
            <w:tcW w:w="90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jc w:val="center"/>
              <w:rPr>
                <w:rFonts w:ascii="Times New Roman" w:hAnsi="Times New Roman" w:cs="Times New Roman"/>
                <w:lang w:eastAsia="lv-LV"/>
              </w:rPr>
            </w:pPr>
            <w:r>
              <w:rPr>
                <w:rFonts w:ascii="Times New Roman" w:hAnsi="Times New Roman" w:cs="Times New Roman"/>
                <w:lang w:eastAsia="lv-LV"/>
              </w:rPr>
              <w:t>Projekts šo jomu neskar.</w:t>
            </w:r>
          </w:p>
        </w:tc>
      </w:tr>
    </w:tbl>
    <w:p w:rsidR="003175D9" w:rsidRDefault="00351BFE">
      <w:pPr>
        <w:rPr>
          <w:rFonts w:ascii="Times New Roman" w:hAnsi="Times New Roman" w:cs="Times New Roman"/>
          <w:lang w:eastAsia="lv-LV"/>
        </w:rPr>
      </w:pPr>
      <w:r>
        <w:rPr>
          <w:rFonts w:ascii="Times New Roman" w:hAnsi="Times New Roman" w:cs="Times New Roman"/>
          <w:lang w:eastAsia="lv-LV"/>
        </w:rPr>
        <w:t>  </w:t>
      </w: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391"/>
        <w:gridCol w:w="3276"/>
        <w:gridCol w:w="5446"/>
      </w:tblGrid>
      <w:tr w:rsidR="003175D9">
        <w:tc>
          <w:tcPr>
            <w:tcW w:w="9071"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jc w:val="both"/>
              <w:rPr>
                <w:rFonts w:ascii="Times New Roman" w:hAnsi="Times New Roman" w:cs="Times New Roman"/>
                <w:b/>
                <w:bCs/>
                <w:color w:val="414142"/>
                <w:lang w:eastAsia="lv-LV"/>
              </w:rPr>
            </w:pPr>
            <w:r>
              <w:rPr>
                <w:rFonts w:ascii="Times New Roman" w:hAnsi="Times New Roman" w:cs="Times New Roman"/>
                <w:b/>
                <w:bCs/>
                <w:color w:val="414142"/>
                <w:lang w:eastAsia="lv-LV"/>
              </w:rPr>
              <w:t>VI. Sabiedrības līdzdalība un komunikācijas aktivitātes</w:t>
            </w:r>
          </w:p>
        </w:tc>
      </w:tr>
      <w:tr w:rsidR="003175D9">
        <w:tc>
          <w:tcPr>
            <w:tcW w:w="389"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1.</w:t>
            </w:r>
          </w:p>
        </w:tc>
        <w:tc>
          <w:tcPr>
            <w:tcW w:w="326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 xml:space="preserve">Plānotās sabiedrības līdzdalības un komunikācijas </w:t>
            </w:r>
            <w:r>
              <w:rPr>
                <w:rFonts w:ascii="Times New Roman" w:hAnsi="Times New Roman" w:cs="Times New Roman"/>
                <w:color w:val="414142"/>
                <w:lang w:eastAsia="lv-LV"/>
              </w:rPr>
              <w:t>aktivitātes saistībā ar projektu</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pPr>
            <w:r>
              <w:rPr>
                <w:rFonts w:ascii="Times New Roman" w:hAnsi="Times New Roman" w:cs="Times New Roman"/>
              </w:rPr>
              <w:t xml:space="preserve">Sabiedrības līdzdalība  nodrošināta saskaņā ar Ministru kabineta 2009.gada 25.augusta noteikumiem Nr.970 “Sabiedrības līdzdalības kārtība attīstības plānošanas procesā”, publicējot paziņojumu par līdzdalības procesu </w:t>
            </w:r>
            <w:r>
              <w:rPr>
                <w:rFonts w:ascii="Times New Roman" w:hAnsi="Times New Roman" w:cs="Times New Roman"/>
                <w:lang w:eastAsia="lv-LV"/>
              </w:rPr>
              <w:t xml:space="preserve">Iekšlietu ministrijas tīmekļvietnē </w:t>
            </w:r>
            <w:hyperlink r:id="rId6">
              <w:r>
                <w:rPr>
                  <w:rStyle w:val="Internetasaite"/>
                  <w:rFonts w:ascii="Times New Roman" w:hAnsi="Times New Roman" w:cs="Times New Roman"/>
                  <w:color w:val="auto"/>
                  <w:lang w:eastAsia="lv-LV"/>
                </w:rPr>
                <w:t>www.iem.gov.lv</w:t>
              </w:r>
            </w:hyperlink>
            <w:r>
              <w:rPr>
                <w:rFonts w:ascii="Times New Roman" w:hAnsi="Times New Roman" w:cs="Times New Roman"/>
                <w:lang w:eastAsia="lv-LV"/>
              </w:rPr>
              <w:t xml:space="preserve"> sadaļā “Sabiedrības līdzdalība”.</w:t>
            </w:r>
          </w:p>
          <w:p w:rsidR="003175D9" w:rsidRDefault="003175D9">
            <w:pPr>
              <w:jc w:val="both"/>
              <w:rPr>
                <w:rFonts w:ascii="Times New Roman" w:hAnsi="Times New Roman" w:cs="Times New Roman"/>
                <w:lang w:eastAsia="lv-LV"/>
              </w:rPr>
            </w:pPr>
          </w:p>
        </w:tc>
      </w:tr>
      <w:tr w:rsidR="003175D9">
        <w:tc>
          <w:tcPr>
            <w:tcW w:w="389"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2.</w:t>
            </w:r>
          </w:p>
        </w:tc>
        <w:tc>
          <w:tcPr>
            <w:tcW w:w="326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Sabiedrības līdzdalība projekta izstrādē</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pPr>
            <w:r>
              <w:rPr>
                <w:rFonts w:ascii="Times New Roman" w:hAnsi="Times New Roman" w:cs="Times New Roman"/>
                <w:lang w:eastAsia="lv-LV"/>
              </w:rPr>
              <w:t xml:space="preserve">Projekts pirms izsludināšanas Valsts sekretāru sanāksmē  ievietots Iekšlietu ministrijas tīmekļvietnē </w:t>
            </w:r>
            <w:hyperlink r:id="rId7">
              <w:r>
                <w:rPr>
                  <w:rStyle w:val="Internetasaite"/>
                  <w:rFonts w:ascii="Times New Roman" w:hAnsi="Times New Roman" w:cs="Times New Roman"/>
                  <w:color w:val="auto"/>
                  <w:lang w:eastAsia="lv-LV"/>
                </w:rPr>
                <w:t>www.iem.gov.lv</w:t>
              </w:r>
            </w:hyperlink>
            <w:r>
              <w:rPr>
                <w:rFonts w:ascii="Times New Roman" w:hAnsi="Times New Roman" w:cs="Times New Roman"/>
                <w:lang w:eastAsia="lv-LV"/>
              </w:rPr>
              <w:t xml:space="preserve"> sadaļā “Sabiedrības līdzdalība”, lūdzot rakstveidā sniegt priekšlikumus par projektu līdz 2020. g</w:t>
            </w:r>
            <w:r>
              <w:rPr>
                <w:rFonts w:ascii="Times New Roman" w:hAnsi="Times New Roman" w:cs="Times New Roman"/>
                <w:lang w:eastAsia="lv-LV"/>
              </w:rPr>
              <w:t>ada 6. maijam.</w:t>
            </w:r>
          </w:p>
          <w:p w:rsidR="003175D9" w:rsidRDefault="00351BFE">
            <w:r>
              <w:rPr>
                <w:rFonts w:ascii="Times New Roman" w:hAnsi="Times New Roman" w:cs="Times New Roman"/>
              </w:rPr>
              <w:t xml:space="preserve">Pēc izsludināšanas Valsts sekretāru sanāksmē projekts sabiedrībai būs pieejams Ministru kabineta tīmekļvietnē </w:t>
            </w:r>
            <w:hyperlink r:id="rId8">
              <w:r>
                <w:rPr>
                  <w:rStyle w:val="Internetasaite"/>
                  <w:rFonts w:ascii="Times New Roman" w:hAnsi="Times New Roman" w:cs="Times New Roman"/>
                  <w:color w:val="auto"/>
                </w:rPr>
                <w:t>www.mk.gov.lv</w:t>
              </w:r>
            </w:hyperlink>
            <w:r>
              <w:rPr>
                <w:rStyle w:val="Internetasaite"/>
                <w:rFonts w:ascii="Times New Roman" w:hAnsi="Times New Roman" w:cs="Times New Roman"/>
                <w:color w:val="auto"/>
              </w:rPr>
              <w:t>.</w:t>
            </w:r>
          </w:p>
          <w:p w:rsidR="003175D9" w:rsidRDefault="003175D9">
            <w:pPr>
              <w:rPr>
                <w:rStyle w:val="Internetasaite"/>
              </w:rPr>
            </w:pPr>
          </w:p>
        </w:tc>
      </w:tr>
      <w:tr w:rsidR="003175D9">
        <w:tc>
          <w:tcPr>
            <w:tcW w:w="389"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3.</w:t>
            </w:r>
          </w:p>
        </w:tc>
        <w:tc>
          <w:tcPr>
            <w:tcW w:w="326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Sabiedrības līdzdalības rezultāti</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rPr>
                <w:rFonts w:ascii="Times New Roman" w:hAnsi="Times New Roman" w:cs="Times New Roman"/>
                <w:lang w:eastAsia="lv-LV"/>
              </w:rPr>
            </w:pPr>
            <w:r>
              <w:rPr>
                <w:rFonts w:ascii="Times New Roman" w:hAnsi="Times New Roman" w:cs="Times New Roman"/>
                <w:lang w:eastAsia="lv-LV"/>
              </w:rPr>
              <w:t>Tiks aizpildīts atbilstoši sabiedrīb</w:t>
            </w:r>
            <w:r>
              <w:rPr>
                <w:rFonts w:ascii="Times New Roman" w:hAnsi="Times New Roman" w:cs="Times New Roman"/>
                <w:lang w:eastAsia="lv-LV"/>
              </w:rPr>
              <w:t>as līdzdalības rezultātiem.</w:t>
            </w:r>
          </w:p>
          <w:p w:rsidR="003175D9" w:rsidRDefault="003175D9">
            <w:pPr>
              <w:jc w:val="both"/>
              <w:rPr>
                <w:rFonts w:ascii="Times New Roman" w:hAnsi="Times New Roman" w:cs="Times New Roman"/>
                <w:lang w:eastAsia="lv-LV"/>
              </w:rPr>
            </w:pPr>
          </w:p>
        </w:tc>
      </w:tr>
      <w:tr w:rsidR="003175D9">
        <w:tc>
          <w:tcPr>
            <w:tcW w:w="389"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4.</w:t>
            </w:r>
          </w:p>
        </w:tc>
        <w:tc>
          <w:tcPr>
            <w:tcW w:w="326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color w:val="414142"/>
                <w:lang w:eastAsia="lv-LV"/>
              </w:rPr>
            </w:pPr>
            <w:r>
              <w:rPr>
                <w:rFonts w:ascii="Times New Roman" w:hAnsi="Times New Roman" w:cs="Times New Roman"/>
                <w:color w:val="414142"/>
                <w:lang w:eastAsia="lv-LV"/>
              </w:rPr>
              <w:t>Cita informācija</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rPr>
                <w:rFonts w:ascii="Times New Roman" w:hAnsi="Times New Roman" w:cs="Times New Roman"/>
                <w:lang w:eastAsia="lv-LV"/>
              </w:rPr>
            </w:pPr>
            <w:r>
              <w:rPr>
                <w:rFonts w:ascii="Times New Roman" w:hAnsi="Times New Roman" w:cs="Times New Roman"/>
                <w:lang w:eastAsia="lv-LV"/>
              </w:rPr>
              <w:t>Nav</w:t>
            </w:r>
          </w:p>
        </w:tc>
      </w:tr>
    </w:tbl>
    <w:p w:rsidR="003175D9" w:rsidRDefault="003175D9">
      <w:pPr>
        <w:rPr>
          <w:rFonts w:ascii="Times New Roman" w:hAnsi="Times New Roman" w:cs="Times New Roman"/>
          <w:lang w:eastAsia="lv-LV"/>
        </w:rPr>
      </w:pPr>
    </w:p>
    <w:tbl>
      <w:tblPr>
        <w:tblW w:w="5000" w:type="pct"/>
        <w:tblInd w:w="-24"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30" w:type="dxa"/>
          <w:left w:w="12" w:type="dxa"/>
          <w:bottom w:w="30" w:type="dxa"/>
          <w:right w:w="30" w:type="dxa"/>
        </w:tblCellMar>
        <w:tblLook w:val="0000" w:firstRow="0" w:lastRow="0" w:firstColumn="0" w:lastColumn="0" w:noHBand="0" w:noVBand="0"/>
      </w:tblPr>
      <w:tblGrid>
        <w:gridCol w:w="577"/>
        <w:gridCol w:w="3090"/>
        <w:gridCol w:w="5446"/>
      </w:tblGrid>
      <w:tr w:rsidR="003175D9">
        <w:tc>
          <w:tcPr>
            <w:tcW w:w="9071"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3175D9" w:rsidRDefault="00351BFE">
            <w:pPr>
              <w:rPr>
                <w:rFonts w:ascii="Times New Roman" w:hAnsi="Times New Roman" w:cs="Times New Roman"/>
                <w:b/>
                <w:bCs/>
                <w:lang w:eastAsia="lv-LV"/>
              </w:rPr>
            </w:pPr>
            <w:r>
              <w:rPr>
                <w:rFonts w:ascii="Times New Roman" w:hAnsi="Times New Roman" w:cs="Times New Roman"/>
                <w:b/>
                <w:bCs/>
                <w:lang w:eastAsia="lv-LV"/>
              </w:rPr>
              <w:t>VII. Tiesību akta projekta izpildes nodrošināšana un tās ietekme uz institūcijām</w:t>
            </w:r>
          </w:p>
        </w:tc>
      </w:tr>
      <w:tr w:rsidR="003175D9">
        <w:tc>
          <w:tcPr>
            <w:tcW w:w="574"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1.</w:t>
            </w:r>
          </w:p>
        </w:tc>
        <w:tc>
          <w:tcPr>
            <w:tcW w:w="3076"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Projekta izpildē iesaistītās institūcijas</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jc w:val="both"/>
              <w:rPr>
                <w:rFonts w:ascii="Times New Roman" w:hAnsi="Times New Roman" w:cs="Times New Roman"/>
              </w:rPr>
            </w:pPr>
            <w:r>
              <w:rPr>
                <w:rFonts w:ascii="Times New Roman" w:hAnsi="Times New Roman" w:cs="Times New Roman"/>
                <w:color w:val="000000"/>
                <w:lang w:eastAsia="lv-LV"/>
              </w:rPr>
              <w:t xml:space="preserve">Valsts policija, Iekšlietu ministrijas Informācijas centrs, Nacionālais </w:t>
            </w:r>
            <w:r>
              <w:rPr>
                <w:rFonts w:ascii="Times New Roman" w:hAnsi="Times New Roman" w:cs="Times New Roman"/>
                <w:color w:val="000000"/>
                <w:lang w:eastAsia="lv-LV"/>
              </w:rPr>
              <w:t>veselības dienests, valsts akciju sabiedrība “Ceļu satiksmes drošības direkcija”.</w:t>
            </w:r>
          </w:p>
          <w:p w:rsidR="003175D9" w:rsidRDefault="003175D9">
            <w:pPr>
              <w:jc w:val="both"/>
              <w:rPr>
                <w:rFonts w:ascii="Times New Roman" w:hAnsi="Times New Roman" w:cs="Times New Roman"/>
                <w:lang w:eastAsia="lv-LV"/>
              </w:rPr>
            </w:pPr>
          </w:p>
        </w:tc>
      </w:tr>
      <w:tr w:rsidR="003175D9">
        <w:tc>
          <w:tcPr>
            <w:tcW w:w="574"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2.</w:t>
            </w:r>
          </w:p>
        </w:tc>
        <w:tc>
          <w:tcPr>
            <w:tcW w:w="3076"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Projekta izpildes ietekme uz pārvaldes funkcijām un institucionālo struktūru.</w:t>
            </w:r>
            <w:r>
              <w:rPr>
                <w:rFonts w:ascii="Times New Roman" w:hAnsi="Times New Roman" w:cs="Times New Roman"/>
                <w:lang w:eastAsia="lv-LV"/>
              </w:rPr>
              <w:br/>
              <w:t xml:space="preserve">Jaunu institūciju izveide, esošu institūciju likvidācija vai reorganizācija, to ietekme uz </w:t>
            </w:r>
            <w:r>
              <w:rPr>
                <w:rFonts w:ascii="Times New Roman" w:hAnsi="Times New Roman" w:cs="Times New Roman"/>
                <w:lang w:eastAsia="lv-LV"/>
              </w:rPr>
              <w:t>institūcijas cilvēkresursiem</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r>
              <w:rPr>
                <w:rFonts w:ascii="Times New Roman" w:hAnsi="Times New Roman" w:cs="Times New Roman"/>
                <w:lang w:eastAsia="lv-LV"/>
              </w:rPr>
              <w:t>Projekts neietekmē pārvaldes funkcijas. Nav nepieciešama jaunu institūciju izveide, esošo institūciju likvidācija vai reorganizācija. Projektam nav ietekmes uz institūcijas cilvēkresursiem.</w:t>
            </w:r>
          </w:p>
        </w:tc>
      </w:tr>
      <w:tr w:rsidR="003175D9">
        <w:trPr>
          <w:trHeight w:val="25"/>
        </w:trPr>
        <w:tc>
          <w:tcPr>
            <w:tcW w:w="574"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3.</w:t>
            </w:r>
          </w:p>
        </w:tc>
        <w:tc>
          <w:tcPr>
            <w:tcW w:w="3076"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Cita informācija</w:t>
            </w:r>
          </w:p>
        </w:tc>
        <w:tc>
          <w:tcPr>
            <w:tcW w:w="5421" w:type="dxa"/>
            <w:tcBorders>
              <w:top w:val="outset" w:sz="6" w:space="0" w:color="000000"/>
              <w:left w:val="outset" w:sz="6" w:space="0" w:color="000000"/>
              <w:bottom w:val="outset" w:sz="6" w:space="0" w:color="000000"/>
              <w:right w:val="outset" w:sz="6" w:space="0" w:color="000000"/>
            </w:tcBorders>
            <w:shd w:val="clear" w:color="auto" w:fill="auto"/>
          </w:tcPr>
          <w:p w:rsidR="003175D9" w:rsidRDefault="00351BFE">
            <w:pPr>
              <w:rPr>
                <w:rFonts w:ascii="Times New Roman" w:hAnsi="Times New Roman" w:cs="Times New Roman"/>
                <w:lang w:eastAsia="lv-LV"/>
              </w:rPr>
            </w:pPr>
            <w:r>
              <w:rPr>
                <w:rFonts w:ascii="Times New Roman" w:hAnsi="Times New Roman" w:cs="Times New Roman"/>
                <w:lang w:eastAsia="lv-LV"/>
              </w:rPr>
              <w:t>Nav.</w:t>
            </w:r>
          </w:p>
        </w:tc>
      </w:tr>
    </w:tbl>
    <w:p w:rsidR="003175D9" w:rsidRDefault="003175D9">
      <w:pPr>
        <w:rPr>
          <w:rFonts w:ascii="Times New Roman" w:hAnsi="Times New Roman" w:cs="Times New Roman"/>
        </w:rPr>
      </w:pPr>
    </w:p>
    <w:p w:rsidR="003175D9" w:rsidRDefault="00351BFE">
      <w:pPr>
        <w:tabs>
          <w:tab w:val="left" w:pos="5954"/>
        </w:tabs>
      </w:pPr>
      <w:r>
        <w:rPr>
          <w:rFonts w:ascii="Times New Roman" w:hAnsi="Times New Roman" w:cs="Times New Roman"/>
        </w:rPr>
        <w:t>Iekšlietu</w:t>
      </w:r>
      <w:r>
        <w:rPr>
          <w:rFonts w:ascii="Times New Roman" w:hAnsi="Times New Roman" w:cs="Times New Roman"/>
        </w:rPr>
        <w:t xml:space="preserve"> ministrs</w:t>
      </w:r>
      <w:r>
        <w:rPr>
          <w:rFonts w:ascii="Times New Roman" w:hAnsi="Times New Roman" w:cs="Times New Roman"/>
        </w:rPr>
        <w:tab/>
      </w:r>
      <w:r>
        <w:rPr>
          <w:rFonts w:ascii="Times New Roman" w:hAnsi="Times New Roman" w:cs="Times New Roman"/>
        </w:rPr>
        <w:tab/>
        <w:t>Sandis Ģirģens</w:t>
      </w:r>
    </w:p>
    <w:p w:rsidR="003175D9" w:rsidRDefault="003175D9">
      <w:pPr>
        <w:tabs>
          <w:tab w:val="left" w:pos="5954"/>
        </w:tabs>
        <w:rPr>
          <w:rFonts w:ascii="Times New Roman" w:hAnsi="Times New Roman" w:cs="Times New Roman"/>
        </w:rPr>
      </w:pPr>
    </w:p>
    <w:p w:rsidR="003175D9" w:rsidRDefault="00351BFE">
      <w:pPr>
        <w:pStyle w:val="naisf"/>
        <w:tabs>
          <w:tab w:val="left" w:pos="5954"/>
        </w:tabs>
        <w:spacing w:before="0" w:after="0"/>
      </w:pPr>
      <w:r>
        <w:t xml:space="preserve">Vīza: </w:t>
      </w:r>
    </w:p>
    <w:p w:rsidR="003175D9" w:rsidRDefault="00351BFE">
      <w:pPr>
        <w:pStyle w:val="naisf"/>
        <w:tabs>
          <w:tab w:val="left" w:pos="5954"/>
        </w:tabs>
        <w:spacing w:before="0" w:after="0"/>
      </w:pPr>
      <w:r>
        <w:t>valsts sekretārs</w:t>
      </w:r>
      <w:r>
        <w:tab/>
      </w:r>
      <w:r>
        <w:tab/>
        <w:t>Dimitrijs Trofimovs</w:t>
      </w:r>
    </w:p>
    <w:p w:rsidR="003175D9" w:rsidRDefault="003175D9">
      <w:pPr>
        <w:pStyle w:val="naisf"/>
        <w:tabs>
          <w:tab w:val="left" w:pos="5954"/>
        </w:tabs>
        <w:spacing w:before="0" w:after="0"/>
      </w:pPr>
    </w:p>
    <w:p w:rsidR="003175D9" w:rsidRDefault="00351BFE">
      <w:pPr>
        <w:pStyle w:val="naisf"/>
        <w:spacing w:before="0" w:after="0"/>
      </w:pPr>
      <w:r>
        <w:rPr>
          <w:sz w:val="20"/>
          <w:szCs w:val="20"/>
        </w:rPr>
        <w:fldChar w:fldCharType="begin"/>
      </w:r>
      <w:r>
        <w:rPr>
          <w:sz w:val="20"/>
          <w:szCs w:val="20"/>
        </w:rPr>
        <w:instrText>TIME \@"dd\.MM\.yyyy\ H:mm"</w:instrText>
      </w:r>
      <w:r>
        <w:rPr>
          <w:sz w:val="20"/>
          <w:szCs w:val="20"/>
        </w:rPr>
        <w:fldChar w:fldCharType="separate"/>
      </w:r>
      <w:r w:rsidR="003D28C5">
        <w:rPr>
          <w:noProof/>
          <w:sz w:val="20"/>
          <w:szCs w:val="20"/>
        </w:rPr>
        <w:t>22.04.2020 8:35</w:t>
      </w:r>
      <w:r>
        <w:rPr>
          <w:sz w:val="20"/>
          <w:szCs w:val="20"/>
        </w:rPr>
        <w:fldChar w:fldCharType="end"/>
      </w:r>
      <w:r>
        <w:rPr>
          <w:sz w:val="20"/>
          <w:szCs w:val="20"/>
        </w:rPr>
        <w:t xml:space="preserve"> 1765</w:t>
      </w:r>
      <w:r>
        <w:rPr>
          <w:sz w:val="20"/>
          <w:szCs w:val="20"/>
        </w:rPr>
        <w:tab/>
      </w:r>
    </w:p>
    <w:p w:rsidR="003175D9" w:rsidRDefault="00351BFE">
      <w:pPr>
        <w:pStyle w:val="naisf"/>
        <w:spacing w:before="0" w:after="0"/>
        <w:rPr>
          <w:rStyle w:val="Internetasaite"/>
          <w:color w:val="auto"/>
          <w:sz w:val="20"/>
          <w:szCs w:val="20"/>
          <w:u w:val="none"/>
        </w:rPr>
      </w:pPr>
      <w:r>
        <w:rPr>
          <w:rStyle w:val="Internetasaite"/>
          <w:color w:val="auto"/>
          <w:sz w:val="20"/>
          <w:szCs w:val="20"/>
          <w:u w:val="none"/>
        </w:rPr>
        <w:lastRenderedPageBreak/>
        <w:t>R.Petrovskis,</w:t>
      </w:r>
      <w:r>
        <w:rPr>
          <w:sz w:val="20"/>
          <w:szCs w:val="20"/>
        </w:rPr>
        <w:t xml:space="preserve"> </w:t>
      </w:r>
      <w:r>
        <w:rPr>
          <w:rStyle w:val="Internetasaite"/>
          <w:color w:val="auto"/>
          <w:sz w:val="20"/>
          <w:szCs w:val="20"/>
          <w:u w:val="none"/>
        </w:rPr>
        <w:t>67219593,</w:t>
      </w:r>
    </w:p>
    <w:p w:rsidR="003175D9" w:rsidRDefault="00351BFE">
      <w:pPr>
        <w:pStyle w:val="naisf"/>
        <w:spacing w:before="0" w:after="0"/>
      </w:pPr>
      <w:r>
        <w:rPr>
          <w:rStyle w:val="Internetasaite"/>
          <w:color w:val="auto"/>
          <w:sz w:val="20"/>
          <w:szCs w:val="20"/>
          <w:u w:val="none"/>
        </w:rPr>
        <w:t>ronalds.petrovskis</w:t>
      </w:r>
      <w:hyperlink r:id="rId9">
        <w:r>
          <w:rPr>
            <w:rStyle w:val="Internetasaite"/>
            <w:color w:val="auto"/>
            <w:sz w:val="20"/>
            <w:szCs w:val="20"/>
            <w:u w:val="none"/>
          </w:rPr>
          <w:t>@iem.gov.lv</w:t>
        </w:r>
      </w:hyperlink>
      <w:r>
        <w:rPr>
          <w:sz w:val="20"/>
          <w:szCs w:val="20"/>
        </w:rPr>
        <w:tab/>
      </w:r>
    </w:p>
    <w:sectPr w:rsidR="003175D9">
      <w:headerReference w:type="default" r:id="rId10"/>
      <w:footerReference w:type="default" r:id="rId11"/>
      <w:pgSz w:w="11906" w:h="16838"/>
      <w:pgMar w:top="1977" w:right="1134" w:bottom="1276" w:left="1701" w:header="1418"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FE" w:rsidRDefault="00351BFE">
      <w:r>
        <w:separator/>
      </w:r>
    </w:p>
  </w:endnote>
  <w:endnote w:type="continuationSeparator" w:id="0">
    <w:p w:rsidR="00351BFE" w:rsidRDefault="0035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D9" w:rsidRDefault="003175D9">
    <w:pPr>
      <w:pStyle w:val="Header"/>
      <w:jc w:val="center"/>
      <w:rPr>
        <w:rFonts w:ascii="Times New Roman" w:hAnsi="Times New Roman" w:cs="Times New Roman"/>
      </w:rPr>
    </w:pPr>
  </w:p>
  <w:p w:rsidR="003175D9" w:rsidRDefault="00351BFE">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FILENAME</w:instrText>
    </w:r>
    <w:r>
      <w:rPr>
        <w:rFonts w:ascii="Times New Roman" w:hAnsi="Times New Roman" w:cs="Times New Roman"/>
        <w:sz w:val="20"/>
        <w:szCs w:val="20"/>
      </w:rPr>
      <w:fldChar w:fldCharType="separate"/>
    </w:r>
    <w:r>
      <w:rPr>
        <w:rFonts w:ascii="Times New Roman" w:hAnsi="Times New Roman" w:cs="Times New Roman"/>
        <w:sz w:val="20"/>
        <w:szCs w:val="20"/>
      </w:rPr>
      <w:t>IEMAnot_200420_Groz_Not_75_MAIS.docx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FE" w:rsidRDefault="00351BFE">
      <w:r>
        <w:separator/>
      </w:r>
    </w:p>
  </w:footnote>
  <w:footnote w:type="continuationSeparator" w:id="0">
    <w:p w:rsidR="00351BFE" w:rsidRDefault="00351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5D9" w:rsidRDefault="00351BFE">
    <w:pPr>
      <w:pStyle w:val="Header"/>
      <w:jc w:val="center"/>
    </w:pPr>
    <w:r>
      <w:fldChar w:fldCharType="begin"/>
    </w:r>
    <w:r>
      <w:instrText>PAGE</w:instrText>
    </w:r>
    <w:r>
      <w:fldChar w:fldCharType="separate"/>
    </w:r>
    <w:r w:rsidR="003D28C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D9"/>
    <w:rsid w:val="003175D9"/>
    <w:rsid w:val="00351BFE"/>
    <w:rsid w:val="003D28C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6EE48-E4EA-4059-94B7-181F52CA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w:hAnsi="Liberation Serif" w:cs="Lohit Devanagari"/>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47D"/>
    <w:rPr>
      <w:rFonts w:cs="Liberation Serif"/>
      <w:kern w:val="2"/>
      <w:sz w:val="24"/>
      <w:szCs w:val="24"/>
      <w:lang w:val="lv-LV"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basedOn w:val="DefaultParagraphFont"/>
    <w:uiPriority w:val="99"/>
    <w:rsid w:val="0028147D"/>
    <w:rPr>
      <w:color w:val="0000FF"/>
      <w:u w:val="single"/>
    </w:rPr>
  </w:style>
  <w:style w:type="character" w:customStyle="1" w:styleId="ListLabel84">
    <w:name w:val="ListLabel 84"/>
    <w:uiPriority w:val="99"/>
    <w:qFormat/>
    <w:rsid w:val="0028147D"/>
    <w:rPr>
      <w:color w:val="auto"/>
      <w:sz w:val="18"/>
      <w:szCs w:val="18"/>
      <w:u w:val="none"/>
    </w:rPr>
  </w:style>
  <w:style w:type="character" w:customStyle="1" w:styleId="ListLabel82">
    <w:name w:val="ListLabel 82"/>
    <w:uiPriority w:val="99"/>
    <w:qFormat/>
    <w:rsid w:val="0028147D"/>
    <w:rPr>
      <w:rFonts w:ascii="Times New Roman" w:hAnsi="Times New Roman" w:cs="Times New Roman"/>
      <w:color w:val="auto"/>
      <w:sz w:val="24"/>
      <w:szCs w:val="24"/>
      <w:lang w:eastAsia="lv-LV"/>
    </w:rPr>
  </w:style>
  <w:style w:type="character" w:customStyle="1" w:styleId="ListLabel83">
    <w:name w:val="ListLabel 83"/>
    <w:uiPriority w:val="99"/>
    <w:qFormat/>
    <w:rsid w:val="0028147D"/>
    <w:rPr>
      <w:rFonts w:ascii="Times New Roman" w:hAnsi="Times New Roman" w:cs="Times New Roman"/>
      <w:color w:val="auto"/>
      <w:sz w:val="24"/>
      <w:szCs w:val="24"/>
    </w:rPr>
  </w:style>
  <w:style w:type="character" w:customStyle="1" w:styleId="ListLabel85">
    <w:name w:val="ListLabel 85"/>
    <w:uiPriority w:val="99"/>
    <w:qFormat/>
    <w:rsid w:val="0028147D"/>
    <w:rPr>
      <w:rFonts w:ascii="Times New Roman" w:hAnsi="Times New Roman" w:cs="Times New Roman"/>
      <w:color w:val="auto"/>
      <w:sz w:val="24"/>
      <w:szCs w:val="24"/>
      <w:lang w:eastAsia="lv-LV"/>
    </w:rPr>
  </w:style>
  <w:style w:type="character" w:customStyle="1" w:styleId="ListLabel86">
    <w:name w:val="ListLabel 86"/>
    <w:uiPriority w:val="99"/>
    <w:qFormat/>
    <w:rsid w:val="0028147D"/>
    <w:rPr>
      <w:rFonts w:ascii="Times New Roman" w:hAnsi="Times New Roman" w:cs="Times New Roman"/>
      <w:color w:val="auto"/>
      <w:sz w:val="24"/>
      <w:szCs w:val="24"/>
    </w:rPr>
  </w:style>
  <w:style w:type="character" w:customStyle="1" w:styleId="ListLabel87">
    <w:name w:val="ListLabel 87"/>
    <w:uiPriority w:val="99"/>
    <w:qFormat/>
    <w:rsid w:val="0028147D"/>
    <w:rPr>
      <w:color w:val="auto"/>
      <w:sz w:val="18"/>
      <w:szCs w:val="18"/>
      <w:u w:val="none"/>
    </w:rPr>
  </w:style>
  <w:style w:type="character" w:customStyle="1" w:styleId="ListLabel88">
    <w:name w:val="ListLabel 88"/>
    <w:uiPriority w:val="99"/>
    <w:qFormat/>
    <w:rsid w:val="0028147D"/>
    <w:rPr>
      <w:rFonts w:ascii="Times New Roman" w:hAnsi="Times New Roman" w:cs="Times New Roman"/>
      <w:color w:val="auto"/>
      <w:sz w:val="24"/>
      <w:szCs w:val="24"/>
      <w:lang w:eastAsia="lv-LV"/>
    </w:rPr>
  </w:style>
  <w:style w:type="character" w:customStyle="1" w:styleId="ListLabel89">
    <w:name w:val="ListLabel 89"/>
    <w:uiPriority w:val="99"/>
    <w:qFormat/>
    <w:rsid w:val="0028147D"/>
    <w:rPr>
      <w:rFonts w:ascii="Times New Roman" w:hAnsi="Times New Roman" w:cs="Times New Roman"/>
      <w:color w:val="auto"/>
      <w:sz w:val="24"/>
      <w:szCs w:val="24"/>
    </w:rPr>
  </w:style>
  <w:style w:type="character" w:customStyle="1" w:styleId="ListLabel90">
    <w:name w:val="ListLabel 90"/>
    <w:uiPriority w:val="99"/>
    <w:qFormat/>
    <w:rsid w:val="0028147D"/>
    <w:rPr>
      <w:color w:val="auto"/>
      <w:sz w:val="18"/>
      <w:szCs w:val="18"/>
      <w:u w:val="none"/>
    </w:rPr>
  </w:style>
  <w:style w:type="character" w:customStyle="1" w:styleId="ListLabel91">
    <w:name w:val="ListLabel 91"/>
    <w:uiPriority w:val="99"/>
    <w:qFormat/>
    <w:rsid w:val="0028147D"/>
    <w:rPr>
      <w:rFonts w:ascii="Times New Roman" w:hAnsi="Times New Roman" w:cs="Times New Roman"/>
      <w:color w:val="auto"/>
      <w:sz w:val="24"/>
      <w:szCs w:val="24"/>
      <w:lang w:eastAsia="lv-LV"/>
    </w:rPr>
  </w:style>
  <w:style w:type="character" w:customStyle="1" w:styleId="ListLabel92">
    <w:name w:val="ListLabel 92"/>
    <w:uiPriority w:val="99"/>
    <w:qFormat/>
    <w:rsid w:val="0028147D"/>
    <w:rPr>
      <w:rFonts w:ascii="Times New Roman" w:hAnsi="Times New Roman" w:cs="Times New Roman"/>
      <w:color w:val="auto"/>
      <w:sz w:val="24"/>
      <w:szCs w:val="24"/>
    </w:rPr>
  </w:style>
  <w:style w:type="character" w:customStyle="1" w:styleId="ListLabel93">
    <w:name w:val="ListLabel 93"/>
    <w:uiPriority w:val="99"/>
    <w:qFormat/>
    <w:rsid w:val="0028147D"/>
    <w:rPr>
      <w:color w:val="auto"/>
      <w:sz w:val="18"/>
      <w:szCs w:val="18"/>
      <w:u w:val="none"/>
    </w:rPr>
  </w:style>
  <w:style w:type="character" w:customStyle="1" w:styleId="Uzsvars">
    <w:name w:val="Uzsvars"/>
    <w:basedOn w:val="DefaultParagraphFont"/>
    <w:uiPriority w:val="99"/>
    <w:qFormat/>
    <w:rsid w:val="0028147D"/>
    <w:rPr>
      <w:i/>
      <w:iCs/>
    </w:rPr>
  </w:style>
  <w:style w:type="character" w:customStyle="1" w:styleId="ListLabel94">
    <w:name w:val="ListLabel 94"/>
    <w:uiPriority w:val="99"/>
    <w:qFormat/>
    <w:rsid w:val="0028147D"/>
    <w:rPr>
      <w:rFonts w:ascii="Times New Roman" w:hAnsi="Times New Roman" w:cs="Times New Roman"/>
      <w:color w:val="auto"/>
      <w:sz w:val="24"/>
      <w:szCs w:val="24"/>
      <w:lang w:val="lv-LV" w:eastAsia="lv-LV"/>
    </w:rPr>
  </w:style>
  <w:style w:type="character" w:customStyle="1" w:styleId="ListLabel95">
    <w:name w:val="ListLabel 95"/>
    <w:uiPriority w:val="99"/>
    <w:qFormat/>
    <w:rsid w:val="0028147D"/>
    <w:rPr>
      <w:rFonts w:ascii="Times New Roman" w:hAnsi="Times New Roman" w:cs="Times New Roman"/>
      <w:color w:val="auto"/>
      <w:sz w:val="24"/>
      <w:szCs w:val="24"/>
      <w:lang w:val="lv-LV"/>
    </w:rPr>
  </w:style>
  <w:style w:type="character" w:customStyle="1" w:styleId="ListLabel96">
    <w:name w:val="ListLabel 96"/>
    <w:uiPriority w:val="99"/>
    <w:qFormat/>
    <w:rsid w:val="0028147D"/>
    <w:rPr>
      <w:color w:val="auto"/>
      <w:sz w:val="18"/>
      <w:szCs w:val="18"/>
      <w:u w:val="none"/>
      <w:lang w:val="lv-LV"/>
    </w:rPr>
  </w:style>
  <w:style w:type="character" w:customStyle="1" w:styleId="BodyTextChar">
    <w:name w:val="Body Text Char"/>
    <w:basedOn w:val="DefaultParagraphFont"/>
    <w:link w:val="BodyText"/>
    <w:uiPriority w:val="99"/>
    <w:semiHidden/>
    <w:qFormat/>
    <w:rsid w:val="003C0238"/>
    <w:rPr>
      <w:rFonts w:cs="Liberation Serif"/>
      <w:kern w:val="2"/>
      <w:sz w:val="24"/>
      <w:szCs w:val="24"/>
      <w:lang w:val="lv-LV" w:eastAsia="zh-CN"/>
    </w:rPr>
  </w:style>
  <w:style w:type="character" w:customStyle="1" w:styleId="HeaderChar">
    <w:name w:val="Header Char"/>
    <w:basedOn w:val="DefaultParagraphFont"/>
    <w:link w:val="Header"/>
    <w:uiPriority w:val="99"/>
    <w:semiHidden/>
    <w:qFormat/>
    <w:rsid w:val="003C0238"/>
    <w:rPr>
      <w:rFonts w:cs="Liberation Serif"/>
      <w:kern w:val="2"/>
      <w:sz w:val="24"/>
      <w:szCs w:val="24"/>
      <w:lang w:val="lv-LV" w:eastAsia="zh-CN"/>
    </w:rPr>
  </w:style>
  <w:style w:type="character" w:customStyle="1" w:styleId="FooterChar">
    <w:name w:val="Footer Char"/>
    <w:basedOn w:val="DefaultParagraphFont"/>
    <w:link w:val="Footer"/>
    <w:uiPriority w:val="99"/>
    <w:semiHidden/>
    <w:qFormat/>
    <w:rsid w:val="003C0238"/>
    <w:rPr>
      <w:rFonts w:cs="Liberation Serif"/>
      <w:kern w:val="2"/>
      <w:sz w:val="24"/>
      <w:szCs w:val="24"/>
      <w:lang w:val="lv-LV" w:eastAsia="zh-CN"/>
    </w:rPr>
  </w:style>
  <w:style w:type="character" w:customStyle="1" w:styleId="CommentTextChar">
    <w:name w:val="Comment Text Char"/>
    <w:basedOn w:val="DefaultParagraphFont"/>
    <w:link w:val="CommentText"/>
    <w:uiPriority w:val="99"/>
    <w:semiHidden/>
    <w:qFormat/>
    <w:locked/>
    <w:rsid w:val="0028147D"/>
    <w:rPr>
      <w:sz w:val="18"/>
      <w:szCs w:val="18"/>
    </w:rPr>
  </w:style>
  <w:style w:type="character" w:styleId="CommentReference">
    <w:name w:val="annotation reference"/>
    <w:basedOn w:val="DefaultParagraphFont"/>
    <w:uiPriority w:val="99"/>
    <w:semiHidden/>
    <w:qFormat/>
    <w:rsid w:val="0028147D"/>
    <w:rPr>
      <w:sz w:val="16"/>
      <w:szCs w:val="16"/>
    </w:rPr>
  </w:style>
  <w:style w:type="character" w:customStyle="1" w:styleId="BalloonTextChar">
    <w:name w:val="Balloon Text Char"/>
    <w:basedOn w:val="DefaultParagraphFont"/>
    <w:link w:val="BalloonText"/>
    <w:uiPriority w:val="99"/>
    <w:semiHidden/>
    <w:qFormat/>
    <w:rsid w:val="003C0238"/>
    <w:rPr>
      <w:rFonts w:ascii="Times New Roman" w:hAnsi="Times New Roman" w:cs="Times New Roman"/>
      <w:kern w:val="2"/>
      <w:sz w:val="0"/>
      <w:szCs w:val="0"/>
      <w:lang w:val="lv-LV" w:eastAsia="zh-CN"/>
    </w:rPr>
  </w:style>
  <w:style w:type="character" w:customStyle="1" w:styleId="ListLabel97">
    <w:name w:val="ListLabel 97"/>
    <w:qFormat/>
    <w:rPr>
      <w:rFonts w:ascii="Times New Roman" w:hAnsi="Times New Roman" w:cs="Times New Roman"/>
      <w:color w:val="auto"/>
      <w:lang w:eastAsia="lv-LV"/>
    </w:rPr>
  </w:style>
  <w:style w:type="character" w:customStyle="1" w:styleId="ListLabel98">
    <w:name w:val="ListLabel 98"/>
    <w:qFormat/>
    <w:rPr>
      <w:rFonts w:ascii="Times New Roman" w:hAnsi="Times New Roman" w:cs="Times New Roman"/>
      <w:color w:val="auto"/>
    </w:rPr>
  </w:style>
  <w:style w:type="character" w:customStyle="1" w:styleId="ListLabel99">
    <w:name w:val="ListLabel 99"/>
    <w:qFormat/>
    <w:rPr>
      <w:color w:val="auto"/>
      <w:sz w:val="20"/>
      <w:szCs w:val="20"/>
      <w:u w:val="none"/>
    </w:rPr>
  </w:style>
  <w:style w:type="character" w:customStyle="1" w:styleId="ListLabel100">
    <w:name w:val="ListLabel 100"/>
    <w:qFormat/>
    <w:rPr>
      <w:rFonts w:ascii="Times New Roman" w:hAnsi="Times New Roman" w:cs="Times New Roman"/>
      <w:color w:val="auto"/>
      <w:lang w:eastAsia="lv-LV"/>
    </w:rPr>
  </w:style>
  <w:style w:type="character" w:customStyle="1" w:styleId="ListLabel101">
    <w:name w:val="ListLabel 101"/>
    <w:qFormat/>
    <w:rPr>
      <w:rFonts w:ascii="Times New Roman" w:hAnsi="Times New Roman" w:cs="Times New Roman"/>
      <w:color w:val="auto"/>
    </w:rPr>
  </w:style>
  <w:style w:type="character" w:customStyle="1" w:styleId="ListLabel102">
    <w:name w:val="ListLabel 102"/>
    <w:qFormat/>
    <w:rPr>
      <w:color w:val="auto"/>
      <w:sz w:val="20"/>
      <w:szCs w:val="20"/>
      <w:u w:val="none"/>
    </w:rPr>
  </w:style>
  <w:style w:type="character" w:customStyle="1" w:styleId="ListLabel103">
    <w:name w:val="ListLabel 103"/>
    <w:qFormat/>
    <w:rPr>
      <w:rFonts w:ascii="Times New Roman" w:hAnsi="Times New Roman" w:cs="Times New Roman"/>
      <w:color w:val="auto"/>
      <w:lang w:eastAsia="lv-LV"/>
    </w:rPr>
  </w:style>
  <w:style w:type="character" w:customStyle="1" w:styleId="ListLabel104">
    <w:name w:val="ListLabel 104"/>
    <w:qFormat/>
    <w:rPr>
      <w:rFonts w:ascii="Times New Roman" w:hAnsi="Times New Roman" w:cs="Times New Roman"/>
      <w:color w:val="auto"/>
    </w:rPr>
  </w:style>
  <w:style w:type="character" w:customStyle="1" w:styleId="ListLabel105">
    <w:name w:val="ListLabel 105"/>
    <w:qFormat/>
    <w:rPr>
      <w:color w:val="auto"/>
      <w:sz w:val="20"/>
      <w:szCs w:val="20"/>
      <w:u w:val="none"/>
    </w:rPr>
  </w:style>
  <w:style w:type="character" w:customStyle="1" w:styleId="ListLabel106">
    <w:name w:val="ListLabel 106"/>
    <w:qFormat/>
    <w:rPr>
      <w:rFonts w:ascii="Times New Roman" w:hAnsi="Times New Roman" w:cs="Times New Roman"/>
      <w:color w:val="auto"/>
      <w:lang w:eastAsia="lv-LV"/>
    </w:rPr>
  </w:style>
  <w:style w:type="character" w:customStyle="1" w:styleId="ListLabel107">
    <w:name w:val="ListLabel 107"/>
    <w:qFormat/>
    <w:rPr>
      <w:rFonts w:ascii="Times New Roman" w:hAnsi="Times New Roman" w:cs="Times New Roman"/>
      <w:color w:val="auto"/>
    </w:rPr>
  </w:style>
  <w:style w:type="character" w:customStyle="1" w:styleId="ListLabel108">
    <w:name w:val="ListLabel 108"/>
    <w:qFormat/>
    <w:rPr>
      <w:color w:val="auto"/>
      <w:sz w:val="20"/>
      <w:szCs w:val="20"/>
      <w:u w:val="none"/>
    </w:rPr>
  </w:style>
  <w:style w:type="character" w:customStyle="1" w:styleId="ListLabel109">
    <w:name w:val="ListLabel 109"/>
    <w:qFormat/>
    <w:rPr>
      <w:rFonts w:ascii="Times New Roman" w:hAnsi="Times New Roman" w:cs="Times New Roman"/>
      <w:color w:val="auto"/>
      <w:lang w:eastAsia="lv-LV"/>
    </w:rPr>
  </w:style>
  <w:style w:type="character" w:customStyle="1" w:styleId="ListLabel110">
    <w:name w:val="ListLabel 110"/>
    <w:qFormat/>
    <w:rPr>
      <w:rFonts w:ascii="Times New Roman" w:hAnsi="Times New Roman" w:cs="Times New Roman"/>
      <w:color w:val="auto"/>
    </w:rPr>
  </w:style>
  <w:style w:type="character" w:customStyle="1" w:styleId="ListLabel111">
    <w:name w:val="ListLabel 111"/>
    <w:qFormat/>
    <w:rPr>
      <w:color w:val="auto"/>
      <w:sz w:val="20"/>
      <w:szCs w:val="20"/>
      <w:u w:val="none"/>
    </w:rPr>
  </w:style>
  <w:style w:type="character" w:customStyle="1" w:styleId="ListLabel112">
    <w:name w:val="ListLabel 112"/>
    <w:qFormat/>
    <w:rPr>
      <w:rFonts w:ascii="Times New Roman" w:hAnsi="Times New Roman" w:cs="Times New Roman"/>
      <w:color w:val="auto"/>
      <w:lang w:eastAsia="lv-LV"/>
    </w:rPr>
  </w:style>
  <w:style w:type="character" w:customStyle="1" w:styleId="ListLabel113">
    <w:name w:val="ListLabel 113"/>
    <w:qFormat/>
    <w:rPr>
      <w:rFonts w:ascii="Times New Roman" w:hAnsi="Times New Roman" w:cs="Times New Roman"/>
      <w:color w:val="auto"/>
    </w:rPr>
  </w:style>
  <w:style w:type="character" w:customStyle="1" w:styleId="ListLabel114">
    <w:name w:val="ListLabel 114"/>
    <w:qFormat/>
    <w:rPr>
      <w:color w:val="auto"/>
      <w:sz w:val="20"/>
      <w:szCs w:val="20"/>
      <w:u w:val="none"/>
    </w:rPr>
  </w:style>
  <w:style w:type="character" w:customStyle="1" w:styleId="ListLabel115">
    <w:name w:val="ListLabel 115"/>
    <w:qFormat/>
    <w:rPr>
      <w:rFonts w:ascii="Times New Roman" w:hAnsi="Times New Roman" w:cs="Times New Roman"/>
      <w:color w:val="auto"/>
      <w:lang w:eastAsia="lv-LV"/>
    </w:rPr>
  </w:style>
  <w:style w:type="character" w:customStyle="1" w:styleId="ListLabel116">
    <w:name w:val="ListLabel 116"/>
    <w:qFormat/>
    <w:rPr>
      <w:rFonts w:ascii="Times New Roman" w:hAnsi="Times New Roman" w:cs="Times New Roman"/>
      <w:color w:val="auto"/>
    </w:rPr>
  </w:style>
  <w:style w:type="character" w:customStyle="1" w:styleId="ListLabel117">
    <w:name w:val="ListLabel 117"/>
    <w:qFormat/>
    <w:rPr>
      <w:color w:val="auto"/>
      <w:sz w:val="20"/>
      <w:szCs w:val="20"/>
      <w:u w:val="none"/>
    </w:rPr>
  </w:style>
  <w:style w:type="character" w:customStyle="1" w:styleId="ListLabel118">
    <w:name w:val="ListLabel 118"/>
    <w:qFormat/>
    <w:rPr>
      <w:rFonts w:ascii="Times New Roman" w:hAnsi="Times New Roman" w:cs="Times New Roman"/>
      <w:color w:val="auto"/>
      <w:lang w:eastAsia="lv-LV"/>
    </w:rPr>
  </w:style>
  <w:style w:type="character" w:customStyle="1" w:styleId="ListLabel119">
    <w:name w:val="ListLabel 119"/>
    <w:qFormat/>
    <w:rPr>
      <w:rFonts w:ascii="Times New Roman" w:hAnsi="Times New Roman" w:cs="Times New Roman"/>
      <w:color w:val="auto"/>
    </w:rPr>
  </w:style>
  <w:style w:type="character" w:customStyle="1" w:styleId="ListLabel120">
    <w:name w:val="ListLabel 120"/>
    <w:qFormat/>
    <w:rPr>
      <w:color w:val="auto"/>
      <w:sz w:val="20"/>
      <w:szCs w:val="20"/>
      <w:u w:val="none"/>
    </w:rPr>
  </w:style>
  <w:style w:type="character" w:customStyle="1" w:styleId="ListLabel121">
    <w:name w:val="ListLabel 121"/>
    <w:qFormat/>
    <w:rPr>
      <w:rFonts w:ascii="Times New Roman" w:hAnsi="Times New Roman" w:cs="Times New Roman"/>
      <w:color w:val="auto"/>
      <w:lang w:eastAsia="lv-LV"/>
    </w:rPr>
  </w:style>
  <w:style w:type="character" w:customStyle="1" w:styleId="ListLabel122">
    <w:name w:val="ListLabel 122"/>
    <w:qFormat/>
    <w:rPr>
      <w:rFonts w:ascii="Times New Roman" w:hAnsi="Times New Roman" w:cs="Times New Roman"/>
      <w:color w:val="auto"/>
    </w:rPr>
  </w:style>
  <w:style w:type="character" w:customStyle="1" w:styleId="ListLabel123">
    <w:name w:val="ListLabel 123"/>
    <w:qFormat/>
    <w:rPr>
      <w:color w:val="auto"/>
      <w:sz w:val="20"/>
      <w:szCs w:val="20"/>
      <w:u w:val="none"/>
    </w:rPr>
  </w:style>
  <w:style w:type="character" w:customStyle="1" w:styleId="ListLabel124">
    <w:name w:val="ListLabel 124"/>
    <w:qFormat/>
    <w:rPr>
      <w:rFonts w:ascii="Times New Roman" w:hAnsi="Times New Roman" w:cs="Times New Roman"/>
      <w:color w:val="auto"/>
      <w:lang w:eastAsia="lv-LV"/>
    </w:rPr>
  </w:style>
  <w:style w:type="character" w:customStyle="1" w:styleId="ListLabel125">
    <w:name w:val="ListLabel 125"/>
    <w:qFormat/>
    <w:rPr>
      <w:rFonts w:ascii="Times New Roman" w:hAnsi="Times New Roman" w:cs="Times New Roman"/>
      <w:color w:val="auto"/>
    </w:rPr>
  </w:style>
  <w:style w:type="character" w:customStyle="1" w:styleId="ListLabel126">
    <w:name w:val="ListLabel 126"/>
    <w:qFormat/>
    <w:rPr>
      <w:color w:val="auto"/>
      <w:sz w:val="20"/>
      <w:szCs w:val="20"/>
      <w:u w:val="none"/>
    </w:rPr>
  </w:style>
  <w:style w:type="character" w:customStyle="1" w:styleId="ListLabel127">
    <w:name w:val="ListLabel 127"/>
    <w:qFormat/>
    <w:rPr>
      <w:rFonts w:ascii="Times New Roman" w:hAnsi="Times New Roman" w:cs="Times New Roman"/>
      <w:color w:val="auto"/>
      <w:lang w:eastAsia="lv-LV"/>
    </w:rPr>
  </w:style>
  <w:style w:type="character" w:customStyle="1" w:styleId="ListLabel128">
    <w:name w:val="ListLabel 128"/>
    <w:qFormat/>
    <w:rPr>
      <w:rFonts w:ascii="Times New Roman" w:hAnsi="Times New Roman" w:cs="Times New Roman"/>
      <w:color w:val="auto"/>
    </w:rPr>
  </w:style>
  <w:style w:type="character" w:customStyle="1" w:styleId="ListLabel129">
    <w:name w:val="ListLabel 129"/>
    <w:qFormat/>
    <w:rPr>
      <w:color w:val="auto"/>
      <w:sz w:val="20"/>
      <w:szCs w:val="20"/>
      <w:u w:val="none"/>
    </w:rPr>
  </w:style>
  <w:style w:type="paragraph" w:customStyle="1" w:styleId="Virsraksts">
    <w:name w:val="Virsraksts"/>
    <w:basedOn w:val="Normal"/>
    <w:next w:val="BodyText"/>
    <w:uiPriority w:val="99"/>
    <w:qFormat/>
    <w:rsid w:val="0028147D"/>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28147D"/>
    <w:pPr>
      <w:spacing w:after="140" w:line="276" w:lineRule="auto"/>
    </w:pPr>
  </w:style>
  <w:style w:type="paragraph" w:styleId="List">
    <w:name w:val="List"/>
    <w:basedOn w:val="BodyText"/>
    <w:uiPriority w:val="99"/>
    <w:rsid w:val="0028147D"/>
  </w:style>
  <w:style w:type="paragraph" w:styleId="Caption">
    <w:name w:val="caption"/>
    <w:basedOn w:val="Normal"/>
    <w:uiPriority w:val="99"/>
    <w:qFormat/>
    <w:rsid w:val="0028147D"/>
    <w:pPr>
      <w:suppressLineNumbers/>
      <w:spacing w:before="120" w:after="120"/>
    </w:pPr>
    <w:rPr>
      <w:i/>
      <w:iCs/>
    </w:rPr>
  </w:style>
  <w:style w:type="paragraph" w:customStyle="1" w:styleId="Rdtjs">
    <w:name w:val="Rādītājs"/>
    <w:basedOn w:val="Normal"/>
    <w:uiPriority w:val="99"/>
    <w:qFormat/>
    <w:rsid w:val="0028147D"/>
    <w:pPr>
      <w:suppressLineNumbers/>
    </w:pPr>
  </w:style>
  <w:style w:type="paragraph" w:customStyle="1" w:styleId="naisf">
    <w:name w:val="naisf"/>
    <w:basedOn w:val="Normal"/>
    <w:uiPriority w:val="99"/>
    <w:qFormat/>
    <w:rsid w:val="0028147D"/>
    <w:pPr>
      <w:spacing w:before="280" w:after="280"/>
    </w:pPr>
    <w:rPr>
      <w:rFonts w:ascii="Times New Roman" w:eastAsia="Times New Roman" w:hAnsi="Times New Roman" w:cs="Times New Roman"/>
      <w:lang w:eastAsia="lv-LV"/>
    </w:rPr>
  </w:style>
  <w:style w:type="paragraph" w:styleId="Header">
    <w:name w:val="header"/>
    <w:basedOn w:val="Normal"/>
    <w:link w:val="HeaderChar"/>
    <w:uiPriority w:val="99"/>
    <w:rsid w:val="0028147D"/>
    <w:pPr>
      <w:tabs>
        <w:tab w:val="center" w:pos="4153"/>
        <w:tab w:val="right" w:pos="8306"/>
      </w:tabs>
    </w:pPr>
  </w:style>
  <w:style w:type="paragraph" w:styleId="Footer">
    <w:name w:val="footer"/>
    <w:basedOn w:val="Normal"/>
    <w:link w:val="FooterChar"/>
    <w:uiPriority w:val="99"/>
    <w:rsid w:val="0028147D"/>
    <w:pPr>
      <w:tabs>
        <w:tab w:val="center" w:pos="4153"/>
        <w:tab w:val="right" w:pos="8306"/>
      </w:tabs>
    </w:pPr>
  </w:style>
  <w:style w:type="paragraph" w:customStyle="1" w:styleId="tv213">
    <w:name w:val="tv213"/>
    <w:basedOn w:val="Normal"/>
    <w:uiPriority w:val="99"/>
    <w:qFormat/>
    <w:rsid w:val="0028147D"/>
    <w:pPr>
      <w:spacing w:before="280" w:after="280"/>
    </w:pPr>
    <w:rPr>
      <w:rFonts w:ascii="Times New Roman" w:eastAsia="Times New Roman" w:hAnsi="Times New Roman" w:cs="Times New Roman"/>
      <w:lang w:eastAsia="lv-LV"/>
    </w:rPr>
  </w:style>
  <w:style w:type="paragraph" w:customStyle="1" w:styleId="naiskr">
    <w:name w:val="naiskr"/>
    <w:basedOn w:val="Normal"/>
    <w:uiPriority w:val="99"/>
    <w:qFormat/>
    <w:rsid w:val="0028147D"/>
    <w:pPr>
      <w:suppressAutoHyphens/>
      <w:spacing w:before="75" w:after="75" w:line="100" w:lineRule="atLeast"/>
    </w:pPr>
    <w:rPr>
      <w:rFonts w:ascii="Times New Roman" w:eastAsia="Times New Roman" w:hAnsi="Times New Roman" w:cs="Times New Roman"/>
      <w:lang w:eastAsia="lv-LV"/>
    </w:rPr>
  </w:style>
  <w:style w:type="paragraph" w:styleId="NoSpacing">
    <w:name w:val="No Spacing"/>
    <w:uiPriority w:val="99"/>
    <w:qFormat/>
    <w:rsid w:val="0028147D"/>
    <w:pPr>
      <w:widowControl w:val="0"/>
    </w:pPr>
    <w:rPr>
      <w:rFonts w:cs="Liberation Serif"/>
      <w:kern w:val="2"/>
      <w:sz w:val="24"/>
      <w:lang w:val="lv-LV"/>
    </w:rPr>
  </w:style>
  <w:style w:type="paragraph" w:customStyle="1" w:styleId="Saturardtjs">
    <w:name w:val="Satura rādītājs"/>
    <w:basedOn w:val="Normal"/>
    <w:uiPriority w:val="99"/>
    <w:qFormat/>
    <w:rsid w:val="0028147D"/>
    <w:pPr>
      <w:suppressLineNumbers/>
    </w:pPr>
  </w:style>
  <w:style w:type="paragraph" w:styleId="CommentText">
    <w:name w:val="annotation text"/>
    <w:basedOn w:val="Normal"/>
    <w:link w:val="CommentTextChar"/>
    <w:uiPriority w:val="99"/>
    <w:semiHidden/>
    <w:qFormat/>
    <w:rsid w:val="0028147D"/>
    <w:rPr>
      <w:sz w:val="20"/>
      <w:szCs w:val="20"/>
    </w:rPr>
  </w:style>
  <w:style w:type="paragraph" w:styleId="BalloonText">
    <w:name w:val="Balloon Text"/>
    <w:basedOn w:val="Normal"/>
    <w:link w:val="BalloonTextChar"/>
    <w:uiPriority w:val="99"/>
    <w:semiHidden/>
    <w:qFormat/>
    <w:rsid w:val="00723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em.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m.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da.strode@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9579</Words>
  <Characters>5461</Characters>
  <Application>Microsoft Office Word</Application>
  <DocSecurity>0</DocSecurity>
  <Lines>45</Lines>
  <Paragraphs>30</Paragraphs>
  <ScaleCrop>false</ScaleCrop>
  <Company>5720</Company>
  <LinksUpToDate>false</LinksUpToDate>
  <CharactersWithSpaces>15010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5720</dc:creator>
  <dc:description/>
  <cp:lastModifiedBy>Inese Sproģe</cp:lastModifiedBy>
  <cp:revision>3</cp:revision>
  <dcterms:created xsi:type="dcterms:W3CDTF">2020-04-22T05:36:00Z</dcterms:created>
  <dcterms:modified xsi:type="dcterms:W3CDTF">2020-04-22T05:36:00Z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5720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