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F1C4D" w14:textId="77777777" w:rsidR="006B2B5C" w:rsidRPr="00DB5DCA" w:rsidRDefault="006B2B5C" w:rsidP="00DB5DCA">
      <w:pPr>
        <w:pStyle w:val="Footer"/>
        <w:jc w:val="center"/>
        <w:rPr>
          <w:rFonts w:ascii="Times New Roman" w:hAnsi="Times New Roman"/>
          <w:b/>
          <w:sz w:val="28"/>
          <w:szCs w:val="28"/>
        </w:rPr>
      </w:pPr>
      <w:r w:rsidRPr="00DB5DCA">
        <w:rPr>
          <w:rFonts w:ascii="Times New Roman" w:hAnsi="Times New Roman"/>
          <w:b/>
          <w:sz w:val="28"/>
          <w:szCs w:val="28"/>
        </w:rPr>
        <w:t>Ministru kabineta noteikumu projekta</w:t>
      </w:r>
    </w:p>
    <w:p w14:paraId="595DBD5E" w14:textId="77777777" w:rsidR="006B2B5C" w:rsidRPr="00DB5DCA" w:rsidRDefault="006B2B5C" w:rsidP="00DB5DCA">
      <w:pPr>
        <w:jc w:val="center"/>
        <w:rPr>
          <w:rFonts w:eastAsia="Lucida Sans Unicode"/>
          <w:b/>
          <w:kern w:val="1"/>
          <w:sz w:val="28"/>
          <w:szCs w:val="28"/>
        </w:rPr>
      </w:pPr>
      <w:r w:rsidRPr="00DB5DCA">
        <w:rPr>
          <w:rFonts w:eastAsia="Lucida Sans Unicode"/>
          <w:b/>
          <w:kern w:val="1"/>
          <w:sz w:val="28"/>
          <w:szCs w:val="28"/>
        </w:rPr>
        <w:t>„</w:t>
      </w:r>
      <w:r w:rsidR="001C3D56">
        <w:rPr>
          <w:b/>
          <w:bCs/>
          <w:color w:val="000000"/>
          <w:sz w:val="28"/>
          <w:szCs w:val="28"/>
        </w:rPr>
        <w:t>Valsts robežsardzes</w:t>
      </w:r>
      <w:r w:rsidRPr="00DB5DCA">
        <w:rPr>
          <w:b/>
          <w:bCs/>
          <w:color w:val="000000"/>
          <w:sz w:val="28"/>
          <w:szCs w:val="28"/>
        </w:rPr>
        <w:t xml:space="preserve"> maksas pakalpojumu cenrādis”</w:t>
      </w:r>
      <w:r w:rsidRPr="00DB5DCA">
        <w:rPr>
          <w:rFonts w:eastAsia="Lucida Sans Unicode"/>
          <w:b/>
          <w:kern w:val="1"/>
          <w:sz w:val="28"/>
          <w:szCs w:val="28"/>
        </w:rPr>
        <w:t xml:space="preserve"> sākotnējās ietekmes novērtējuma ziņojums (anotācija)</w:t>
      </w:r>
    </w:p>
    <w:p w14:paraId="7C36A1AD" w14:textId="77777777" w:rsidR="00F660BF" w:rsidRPr="00DB5DCA" w:rsidRDefault="00F660BF" w:rsidP="00DB5DCA">
      <w:pPr>
        <w:pStyle w:val="Title"/>
        <w:spacing w:before="130"/>
        <w:ind w:firstLine="539"/>
        <w:jc w:val="both"/>
        <w:rPr>
          <w:szCs w:val="28"/>
        </w:rPr>
      </w:pPr>
    </w:p>
    <w:tbl>
      <w:tblPr>
        <w:tblStyle w:val="TableGrid"/>
        <w:tblW w:w="5000" w:type="pct"/>
        <w:tblInd w:w="-5" w:type="dxa"/>
        <w:tblLook w:val="04A0" w:firstRow="1" w:lastRow="0" w:firstColumn="1" w:lastColumn="0" w:noHBand="0" w:noVBand="1"/>
      </w:tblPr>
      <w:tblGrid>
        <w:gridCol w:w="3289"/>
        <w:gridCol w:w="5772"/>
      </w:tblGrid>
      <w:tr w:rsidR="00F91AFA" w:rsidRPr="00214246" w14:paraId="39506FFC" w14:textId="77777777" w:rsidTr="00D25694">
        <w:tc>
          <w:tcPr>
            <w:tcW w:w="5000" w:type="pct"/>
            <w:gridSpan w:val="2"/>
            <w:hideMark/>
          </w:tcPr>
          <w:p w14:paraId="56E56494" w14:textId="77777777" w:rsidR="00F91AFA" w:rsidRPr="00214246" w:rsidRDefault="00F91AFA" w:rsidP="00DB5DCA">
            <w:pPr>
              <w:jc w:val="center"/>
              <w:rPr>
                <w:b/>
                <w:bCs/>
                <w:iCs/>
                <w:lang w:val="sv-SE"/>
              </w:rPr>
            </w:pPr>
            <w:r w:rsidRPr="00214246">
              <w:rPr>
                <w:b/>
                <w:bCs/>
                <w:iCs/>
                <w:lang w:val="sv-SE"/>
              </w:rPr>
              <w:t>Tiesību akta projekta anotācijas kopsavilkums</w:t>
            </w:r>
          </w:p>
        </w:tc>
      </w:tr>
      <w:tr w:rsidR="00F91AFA" w:rsidRPr="00214246" w14:paraId="022654C9" w14:textId="77777777" w:rsidTr="00D25694">
        <w:tc>
          <w:tcPr>
            <w:tcW w:w="1815" w:type="pct"/>
            <w:hideMark/>
          </w:tcPr>
          <w:p w14:paraId="5DE4F7CD" w14:textId="77777777" w:rsidR="00F91AFA" w:rsidRPr="00214246" w:rsidRDefault="00F91AFA" w:rsidP="00DB5DCA">
            <w:pPr>
              <w:rPr>
                <w:iCs/>
              </w:rPr>
            </w:pPr>
            <w:r w:rsidRPr="00214246">
              <w:rPr>
                <w:iCs/>
              </w:rPr>
              <w:t>Mērķis, risinājums u</w:t>
            </w:r>
            <w:r w:rsidR="00526D8F" w:rsidRPr="00214246">
              <w:rPr>
                <w:iCs/>
              </w:rPr>
              <w:t>n projekta spēkā stāšanās laiks</w:t>
            </w:r>
          </w:p>
        </w:tc>
        <w:tc>
          <w:tcPr>
            <w:tcW w:w="3185" w:type="pct"/>
            <w:hideMark/>
          </w:tcPr>
          <w:p w14:paraId="583D76E6" w14:textId="5E906C21" w:rsidR="00CF611F" w:rsidRPr="00CF611F" w:rsidRDefault="00901756" w:rsidP="00CF611F">
            <w:pPr>
              <w:ind w:left="5" w:firstLine="567"/>
              <w:jc w:val="both"/>
            </w:pPr>
            <w:r>
              <w:t>Ministru kabineta noteikumu p</w:t>
            </w:r>
            <w:r w:rsidR="00CF611F">
              <w:t>rojekts</w:t>
            </w:r>
            <w:r>
              <w:t xml:space="preserve"> “Valsts robežsardzes maksas pakalpojumu cenrādis” (turpmāk – projekts)</w:t>
            </w:r>
            <w:r w:rsidR="00CF611F">
              <w:t xml:space="preserve"> aktualizē</w:t>
            </w:r>
            <w:r w:rsidR="00CF611F" w:rsidRPr="00CF611F">
              <w:t xml:space="preserve"> Valsts robežsardzes maksas pakalpojuma cenrādi, precizējot atsevišķa maksas pakalpojuma veida cenu, kā arī svītro vairākus maksas pakalpojumu veidus.</w:t>
            </w:r>
          </w:p>
          <w:p w14:paraId="34036AD6" w14:textId="24F22463" w:rsidR="004053EE" w:rsidRPr="00CF611F" w:rsidRDefault="00CF611F" w:rsidP="00CF611F">
            <w:pPr>
              <w:ind w:left="5" w:firstLine="567"/>
              <w:jc w:val="both"/>
            </w:pPr>
            <w:r w:rsidRPr="00CF611F">
              <w:t xml:space="preserve">Projekts </w:t>
            </w:r>
            <w:r w:rsidRPr="00CF611F">
              <w:rPr>
                <w:rFonts w:eastAsiaTheme="minorEastAsia"/>
              </w:rPr>
              <w:t>stāsies spēkā Oficiālo publikāciju un tiesiskās informācijas likumā noteiktajā kārtībā.</w:t>
            </w:r>
          </w:p>
        </w:tc>
      </w:tr>
    </w:tbl>
    <w:p w14:paraId="138F499C" w14:textId="77777777" w:rsidR="00F660BF" w:rsidRDefault="00F660BF" w:rsidP="00DB5DCA">
      <w:pPr>
        <w:pStyle w:val="Title"/>
        <w:ind w:firstLine="539"/>
        <w:jc w:val="both"/>
        <w:rPr>
          <w:sz w:val="24"/>
          <w:szCs w:val="24"/>
        </w:rPr>
      </w:pPr>
    </w:p>
    <w:p w14:paraId="114F237F" w14:textId="77777777" w:rsidR="00CF611F" w:rsidRPr="00214246" w:rsidRDefault="00CF611F" w:rsidP="00DB5DCA">
      <w:pPr>
        <w:pStyle w:val="Title"/>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214246" w14:paraId="70AD2B65" w14:textId="77777777" w:rsidTr="006B2B5C">
        <w:tc>
          <w:tcPr>
            <w:tcW w:w="5000" w:type="pct"/>
            <w:gridSpan w:val="3"/>
            <w:vAlign w:val="center"/>
            <w:hideMark/>
          </w:tcPr>
          <w:p w14:paraId="7B07AE0D" w14:textId="77777777" w:rsidR="00BD5588" w:rsidRPr="00214246" w:rsidRDefault="00BD5588" w:rsidP="00DB5DCA">
            <w:pPr>
              <w:jc w:val="center"/>
              <w:rPr>
                <w:b/>
                <w:bCs/>
              </w:rPr>
            </w:pPr>
            <w:r w:rsidRPr="00214246">
              <w:rPr>
                <w:b/>
                <w:bCs/>
              </w:rPr>
              <w:t>I. Tiesību akta projekta izstrādes nepieciešamība</w:t>
            </w:r>
          </w:p>
        </w:tc>
      </w:tr>
      <w:tr w:rsidR="00BD5588" w:rsidRPr="00214246" w14:paraId="5E4C4041" w14:textId="77777777" w:rsidTr="006B2B5C">
        <w:tc>
          <w:tcPr>
            <w:tcW w:w="311" w:type="pct"/>
            <w:hideMark/>
          </w:tcPr>
          <w:p w14:paraId="3E66B981" w14:textId="77777777" w:rsidR="00BD5588" w:rsidRPr="00214246" w:rsidRDefault="00BD5588" w:rsidP="00DB5DCA">
            <w:pPr>
              <w:jc w:val="center"/>
            </w:pPr>
            <w:r w:rsidRPr="00214246">
              <w:t>1.</w:t>
            </w:r>
          </w:p>
        </w:tc>
        <w:tc>
          <w:tcPr>
            <w:tcW w:w="1479" w:type="pct"/>
            <w:hideMark/>
          </w:tcPr>
          <w:p w14:paraId="05E74E6D" w14:textId="77777777" w:rsidR="00BD5588" w:rsidRPr="00214246" w:rsidRDefault="00BD5588" w:rsidP="00DB5DCA">
            <w:r w:rsidRPr="00214246">
              <w:t>Pamatojums</w:t>
            </w:r>
          </w:p>
        </w:tc>
        <w:tc>
          <w:tcPr>
            <w:tcW w:w="3210" w:type="pct"/>
            <w:hideMark/>
          </w:tcPr>
          <w:p w14:paraId="15B866CB" w14:textId="77777777" w:rsidR="00BD5588" w:rsidRPr="00214246" w:rsidRDefault="002A214A" w:rsidP="00C6497A">
            <w:pPr>
              <w:jc w:val="both"/>
            </w:pPr>
            <w:r w:rsidRPr="00214246">
              <w:t>Iekšlietu ministrijas iniciatīva</w:t>
            </w:r>
          </w:p>
        </w:tc>
      </w:tr>
      <w:tr w:rsidR="00BD5588" w:rsidRPr="00214246" w14:paraId="6C27EF7D" w14:textId="77777777" w:rsidTr="006B2B5C">
        <w:tc>
          <w:tcPr>
            <w:tcW w:w="311" w:type="pct"/>
            <w:hideMark/>
          </w:tcPr>
          <w:p w14:paraId="2E49D488" w14:textId="77777777" w:rsidR="00BD5588" w:rsidRPr="00214246" w:rsidRDefault="00BD5588" w:rsidP="00DB5DCA">
            <w:pPr>
              <w:jc w:val="center"/>
            </w:pPr>
            <w:r w:rsidRPr="00214246">
              <w:t>2.</w:t>
            </w:r>
          </w:p>
        </w:tc>
        <w:tc>
          <w:tcPr>
            <w:tcW w:w="1479" w:type="pct"/>
            <w:hideMark/>
          </w:tcPr>
          <w:p w14:paraId="616B33DB" w14:textId="77777777" w:rsidR="00A3723C" w:rsidRPr="00214246" w:rsidRDefault="00BD5588" w:rsidP="00DB5DCA">
            <w:r w:rsidRPr="00214246">
              <w:t>Pašreizējā situācija un problēmas, kuru risināšanai tiesību akta projekts izstrādāts, tiesiskā regulējuma mērķis un būtība</w:t>
            </w:r>
          </w:p>
          <w:p w14:paraId="68B13937" w14:textId="77777777" w:rsidR="00A3723C" w:rsidRPr="00214246" w:rsidRDefault="00A3723C" w:rsidP="00DB5DCA"/>
          <w:p w14:paraId="71ECD8F5" w14:textId="77777777" w:rsidR="00A3723C" w:rsidRPr="00214246" w:rsidRDefault="00A3723C" w:rsidP="00DB5DCA"/>
          <w:p w14:paraId="264C1103" w14:textId="77777777" w:rsidR="00A3723C" w:rsidRPr="00214246" w:rsidRDefault="00A3723C" w:rsidP="00DB5DCA"/>
          <w:p w14:paraId="4F356A0B" w14:textId="77777777" w:rsidR="00A3723C" w:rsidRPr="00214246" w:rsidRDefault="00A3723C" w:rsidP="00DB5DCA"/>
          <w:p w14:paraId="4F320C8D" w14:textId="77777777" w:rsidR="00A3723C" w:rsidRPr="00214246" w:rsidRDefault="00A3723C" w:rsidP="00DB5DCA"/>
          <w:p w14:paraId="4E184DEB" w14:textId="77777777" w:rsidR="00A3723C" w:rsidRPr="00214246" w:rsidRDefault="00A3723C" w:rsidP="00DB5DCA"/>
          <w:p w14:paraId="15722244" w14:textId="77777777" w:rsidR="00BD5588" w:rsidRPr="00214246" w:rsidRDefault="00BD5588" w:rsidP="00DB5DCA"/>
        </w:tc>
        <w:tc>
          <w:tcPr>
            <w:tcW w:w="3210" w:type="pct"/>
            <w:hideMark/>
          </w:tcPr>
          <w:p w14:paraId="507D362D" w14:textId="5574B839" w:rsidR="007309E5" w:rsidRPr="00214246" w:rsidRDefault="00FA09D2" w:rsidP="001961D4">
            <w:pPr>
              <w:pStyle w:val="ListParagraph"/>
              <w:numPr>
                <w:ilvl w:val="0"/>
                <w:numId w:val="4"/>
              </w:numPr>
              <w:ind w:left="0" w:firstLine="407"/>
              <w:jc w:val="both"/>
              <w:rPr>
                <w:bCs/>
              </w:rPr>
            </w:pPr>
            <w:r>
              <w:rPr>
                <w:shd w:val="clear" w:color="auto" w:fill="FFFFFF"/>
              </w:rPr>
              <w:t xml:space="preserve">Valsts robežsardze maksas </w:t>
            </w:r>
            <w:r w:rsidRPr="00214246">
              <w:rPr>
                <w:shd w:val="clear" w:color="auto" w:fill="FFFFFF"/>
              </w:rPr>
              <w:t>pakalpojuma veid</w:t>
            </w:r>
            <w:r>
              <w:rPr>
                <w:shd w:val="clear" w:color="auto" w:fill="FFFFFF"/>
              </w:rPr>
              <w:t>u</w:t>
            </w:r>
            <w:r w:rsidRPr="00214246">
              <w:rPr>
                <w:shd w:val="clear" w:color="auto" w:fill="FFFFFF"/>
              </w:rPr>
              <w:t xml:space="preserve"> </w:t>
            </w:r>
            <w:r w:rsidRPr="00214246">
              <w:t>“Dokumentu tehniskā ekspertīze”</w:t>
            </w:r>
            <w:r>
              <w:t xml:space="preserve"> ir iekļāvusi maksas pakalpojumu sarakstā kopš 2009. gada</w:t>
            </w:r>
            <w:r>
              <w:rPr>
                <w:rStyle w:val="FootnoteReference"/>
              </w:rPr>
              <w:footnoteReference w:id="1"/>
            </w:r>
            <w:r>
              <w:t xml:space="preserve">. </w:t>
            </w:r>
            <w:r w:rsidR="006B2B5C" w:rsidRPr="00214246">
              <w:rPr>
                <w:bCs/>
              </w:rPr>
              <w:t xml:space="preserve">Šobrīd </w:t>
            </w:r>
            <w:r w:rsidR="002A214A" w:rsidRPr="00214246">
              <w:rPr>
                <w:bCs/>
              </w:rPr>
              <w:t>Valsts r</w:t>
            </w:r>
            <w:r w:rsidR="00A30D23" w:rsidRPr="00214246">
              <w:rPr>
                <w:bCs/>
              </w:rPr>
              <w:t>obežsardzes</w:t>
            </w:r>
            <w:r w:rsidR="006B2B5C" w:rsidRPr="00214246">
              <w:rPr>
                <w:bCs/>
              </w:rPr>
              <w:t xml:space="preserve"> maksas pakalpojumu cenrā</w:t>
            </w:r>
            <w:r w:rsidR="001251B1" w:rsidRPr="00214246">
              <w:rPr>
                <w:bCs/>
              </w:rPr>
              <w:t>di nosaka Ministru kabineta</w:t>
            </w:r>
            <w:r w:rsidR="00171FCC" w:rsidRPr="00214246">
              <w:rPr>
                <w:bCs/>
              </w:rPr>
              <w:t xml:space="preserve"> 2013.</w:t>
            </w:r>
            <w:r w:rsidR="002A214A" w:rsidRPr="00214246">
              <w:rPr>
                <w:bCs/>
              </w:rPr>
              <w:t xml:space="preserve"> </w:t>
            </w:r>
            <w:r w:rsidR="00171FCC" w:rsidRPr="00214246">
              <w:rPr>
                <w:bCs/>
              </w:rPr>
              <w:t>gada 13.</w:t>
            </w:r>
            <w:r w:rsidR="002A214A" w:rsidRPr="00214246">
              <w:rPr>
                <w:bCs/>
              </w:rPr>
              <w:t xml:space="preserve"> </w:t>
            </w:r>
            <w:r w:rsidR="00171FCC" w:rsidRPr="00214246">
              <w:rPr>
                <w:bCs/>
              </w:rPr>
              <w:t>augusta noteikumi Nr.</w:t>
            </w:r>
            <w:r w:rsidR="002A214A" w:rsidRPr="00214246">
              <w:rPr>
                <w:bCs/>
              </w:rPr>
              <w:t xml:space="preserve"> 560 “</w:t>
            </w:r>
            <w:r w:rsidR="00171FCC" w:rsidRPr="00214246">
              <w:rPr>
                <w:bCs/>
              </w:rPr>
              <w:t>Valsts robežsardzes maksas pakalpojumu cenrādis”</w:t>
            </w:r>
            <w:r w:rsidR="008B6FE1" w:rsidRPr="00214246">
              <w:rPr>
                <w:bCs/>
              </w:rPr>
              <w:t xml:space="preserve"> </w:t>
            </w:r>
            <w:r w:rsidR="006B2B5C" w:rsidRPr="00214246">
              <w:rPr>
                <w:bCs/>
              </w:rPr>
              <w:t>(turpmāk – Noteikumi</w:t>
            </w:r>
            <w:r w:rsidR="004053EE" w:rsidRPr="00214246">
              <w:rPr>
                <w:bCs/>
              </w:rPr>
              <w:t xml:space="preserve"> Nr. 560</w:t>
            </w:r>
            <w:r w:rsidR="006B2B5C" w:rsidRPr="00214246">
              <w:rPr>
                <w:bCs/>
              </w:rPr>
              <w:t>)</w:t>
            </w:r>
            <w:r w:rsidR="008930D1" w:rsidRPr="00214246">
              <w:rPr>
                <w:bCs/>
              </w:rPr>
              <w:t>, kuri nav aktualizēti kopš 2014. gada</w:t>
            </w:r>
            <w:r w:rsidR="008930D1" w:rsidRPr="00214246">
              <w:rPr>
                <w:rStyle w:val="FootnoteReference"/>
                <w:bCs/>
              </w:rPr>
              <w:footnoteReference w:id="2"/>
            </w:r>
            <w:r w:rsidR="008930D1" w:rsidRPr="00214246">
              <w:rPr>
                <w:bCs/>
              </w:rPr>
              <w:t>.</w:t>
            </w:r>
          </w:p>
          <w:p w14:paraId="08E700DF" w14:textId="1B4473B0" w:rsidR="001E5E46" w:rsidRPr="00071E7A" w:rsidRDefault="004053EE" w:rsidP="005334BB">
            <w:pPr>
              <w:ind w:firstLine="549"/>
              <w:jc w:val="both"/>
              <w:rPr>
                <w:bCs/>
              </w:rPr>
            </w:pPr>
            <w:r w:rsidRPr="00214246">
              <w:rPr>
                <w:bCs/>
              </w:rPr>
              <w:t xml:space="preserve">Valsts robežsardzē </w:t>
            </w:r>
            <w:r w:rsidR="00DF6B79" w:rsidRPr="00214246">
              <w:rPr>
                <w:bCs/>
              </w:rPr>
              <w:t>2017.</w:t>
            </w:r>
            <w:r w:rsidR="008930D1" w:rsidRPr="00214246">
              <w:rPr>
                <w:bCs/>
              </w:rPr>
              <w:t xml:space="preserve"> </w:t>
            </w:r>
            <w:r w:rsidR="00DF6B79" w:rsidRPr="00214246">
              <w:rPr>
                <w:bCs/>
              </w:rPr>
              <w:t>gada 1.</w:t>
            </w:r>
            <w:r w:rsidRPr="00214246">
              <w:rPr>
                <w:bCs/>
              </w:rPr>
              <w:t xml:space="preserve"> </w:t>
            </w:r>
            <w:r w:rsidR="00DF6B79" w:rsidRPr="00214246">
              <w:rPr>
                <w:bCs/>
              </w:rPr>
              <w:t>janvār</w:t>
            </w:r>
            <w:r w:rsidR="008930D1" w:rsidRPr="00214246">
              <w:rPr>
                <w:bCs/>
              </w:rPr>
              <w:t>ī</w:t>
            </w:r>
            <w:r w:rsidR="00DF6B79" w:rsidRPr="00214246">
              <w:rPr>
                <w:bCs/>
              </w:rPr>
              <w:t xml:space="preserve"> </w:t>
            </w:r>
            <w:r w:rsidR="008930D1" w:rsidRPr="00214246">
              <w:rPr>
                <w:bCs/>
              </w:rPr>
              <w:t xml:space="preserve">mainījās </w:t>
            </w:r>
            <w:r w:rsidR="00DF6B79" w:rsidRPr="00214246">
              <w:rPr>
                <w:bCs/>
              </w:rPr>
              <w:t>atalgojuma sistēma, jo stājā</w:t>
            </w:r>
            <w:r w:rsidR="00D13069">
              <w:rPr>
                <w:bCs/>
              </w:rPr>
              <w:t>s</w:t>
            </w:r>
            <w:r w:rsidR="00DF6B79" w:rsidRPr="00214246">
              <w:rPr>
                <w:bCs/>
              </w:rPr>
              <w:t xml:space="preserve"> spēkā Ministru kabineta 2016.</w:t>
            </w:r>
            <w:r w:rsidR="008930D1" w:rsidRPr="00214246">
              <w:rPr>
                <w:bCs/>
              </w:rPr>
              <w:t xml:space="preserve"> </w:t>
            </w:r>
            <w:r w:rsidR="00DF6B79" w:rsidRPr="00214246">
              <w:rPr>
                <w:bCs/>
              </w:rPr>
              <w:t>gada 13.</w:t>
            </w:r>
            <w:r w:rsidR="008930D1" w:rsidRPr="00214246">
              <w:rPr>
                <w:bCs/>
              </w:rPr>
              <w:t xml:space="preserve"> </w:t>
            </w:r>
            <w:r w:rsidR="00DF6B79" w:rsidRPr="00214246">
              <w:rPr>
                <w:bCs/>
              </w:rPr>
              <w:t>decembra noteikumi Nr.</w:t>
            </w:r>
            <w:r w:rsidR="008930D1" w:rsidRPr="00214246">
              <w:rPr>
                <w:bCs/>
              </w:rPr>
              <w:t xml:space="preserve"> 806 “</w:t>
            </w:r>
            <w:r w:rsidR="00DF6B79" w:rsidRPr="00214246">
              <w:rPr>
                <w:bCs/>
              </w:rPr>
              <w:t>Noteikumi par Iekšlietu ministrijas sistēmas iestāžu un Ieslodzījuma vietu pārvaldes amatpersonu ar speciālajām dienesta pakāpēm mēnešalgu un speciālo piemaksu noteikšanas kārtību un to apmēru” un Ministru kabineta 2016.</w:t>
            </w:r>
            <w:r w:rsidR="008930D1" w:rsidRPr="00214246">
              <w:rPr>
                <w:bCs/>
              </w:rPr>
              <w:t xml:space="preserve"> </w:t>
            </w:r>
            <w:r w:rsidR="00DF6B79" w:rsidRPr="00214246">
              <w:rPr>
                <w:bCs/>
              </w:rPr>
              <w:t>gada 20.</w:t>
            </w:r>
            <w:r w:rsidR="008930D1" w:rsidRPr="00214246">
              <w:rPr>
                <w:bCs/>
              </w:rPr>
              <w:t xml:space="preserve"> </w:t>
            </w:r>
            <w:r w:rsidR="00DF6B79" w:rsidRPr="00214246">
              <w:rPr>
                <w:bCs/>
              </w:rPr>
              <w:t>decembra noteikumi Nr.</w:t>
            </w:r>
            <w:r w:rsidR="008930D1" w:rsidRPr="00214246">
              <w:rPr>
                <w:bCs/>
              </w:rPr>
              <w:t xml:space="preserve"> </w:t>
            </w:r>
            <w:r w:rsidR="001E5E46" w:rsidRPr="00214246">
              <w:rPr>
                <w:bCs/>
              </w:rPr>
              <w:t>822 “</w:t>
            </w:r>
            <w:r w:rsidR="00DF6B79" w:rsidRPr="00214246">
              <w:rPr>
                <w:bCs/>
              </w:rPr>
              <w:t>Grozījumi Ministru kabineta 2013.</w:t>
            </w:r>
            <w:r w:rsidR="008930D1" w:rsidRPr="00214246">
              <w:rPr>
                <w:bCs/>
              </w:rPr>
              <w:t xml:space="preserve"> </w:t>
            </w:r>
            <w:r w:rsidR="00DF6B79" w:rsidRPr="00214246">
              <w:rPr>
                <w:bCs/>
              </w:rPr>
              <w:t>gada 29.</w:t>
            </w:r>
            <w:r w:rsidR="008930D1" w:rsidRPr="00214246">
              <w:rPr>
                <w:bCs/>
              </w:rPr>
              <w:t xml:space="preserve"> </w:t>
            </w:r>
            <w:r w:rsidR="00DF6B79" w:rsidRPr="00214246">
              <w:rPr>
                <w:bCs/>
              </w:rPr>
              <w:t>janvāra noteikum</w:t>
            </w:r>
            <w:r w:rsidR="005334BB">
              <w:rPr>
                <w:bCs/>
              </w:rPr>
              <w:t>os</w:t>
            </w:r>
            <w:r w:rsidR="00DF6B79" w:rsidRPr="00214246">
              <w:rPr>
                <w:bCs/>
              </w:rPr>
              <w:t xml:space="preserve"> Nr.</w:t>
            </w:r>
            <w:r w:rsidR="008930D1" w:rsidRPr="00214246">
              <w:rPr>
                <w:bCs/>
              </w:rPr>
              <w:t xml:space="preserve"> </w:t>
            </w:r>
            <w:r w:rsidR="00DF6B79" w:rsidRPr="00214246">
              <w:rPr>
                <w:bCs/>
              </w:rPr>
              <w:t xml:space="preserve">66 </w:t>
            </w:r>
            <w:r w:rsidR="008930D1" w:rsidRPr="00214246">
              <w:rPr>
                <w:bCs/>
              </w:rPr>
              <w:t>“</w:t>
            </w:r>
            <w:r w:rsidR="00DF6B79" w:rsidRPr="00214246">
              <w:rPr>
                <w:bCs/>
              </w:rPr>
              <w:t>Noteikumi par valsts un pašvaldību institūciju amatpersonu un darbinieku darba sama</w:t>
            </w:r>
            <w:r w:rsidR="008930D1" w:rsidRPr="00214246">
              <w:rPr>
                <w:bCs/>
              </w:rPr>
              <w:t>ksu un tās noteikšanas kārtību”</w:t>
            </w:r>
            <w:r w:rsidR="001E5E46" w:rsidRPr="00214246">
              <w:rPr>
                <w:bCs/>
              </w:rPr>
              <w:t>”</w:t>
            </w:r>
            <w:r w:rsidR="008930D1" w:rsidRPr="00214246">
              <w:rPr>
                <w:bCs/>
              </w:rPr>
              <w:t xml:space="preserve">, kā rezultātā Valsts </w:t>
            </w:r>
            <w:r w:rsidR="008930D1" w:rsidRPr="00071E7A">
              <w:rPr>
                <w:bCs/>
              </w:rPr>
              <w:t xml:space="preserve">robežsardzes amatpersonām, kuras iesaistītas maksas pakalpojuma </w:t>
            </w:r>
            <w:r w:rsidR="00E35C73" w:rsidRPr="00071E7A">
              <w:rPr>
                <w:bCs/>
              </w:rPr>
              <w:t xml:space="preserve">veida </w:t>
            </w:r>
            <w:r w:rsidR="00E35C73" w:rsidRPr="00071E7A">
              <w:t xml:space="preserve">“Dokumentu tehniskā ekspertīze” </w:t>
            </w:r>
            <w:r w:rsidR="008930D1" w:rsidRPr="00071E7A">
              <w:rPr>
                <w:bCs/>
              </w:rPr>
              <w:t xml:space="preserve">nodrošināšanā, palielinājās atalgojums. </w:t>
            </w:r>
            <w:r w:rsidR="001E5E46" w:rsidRPr="00071E7A">
              <w:rPr>
                <w:bCs/>
              </w:rPr>
              <w:t xml:space="preserve">Turklāt ir palielinājušās arī tehnisko resursu uzturēšanas izmaksas, samaksa par materiāliem, energoresursiem u.c. izdevumiem, lai nodrošinātu attiecīgā pakalpojuma </w:t>
            </w:r>
            <w:r w:rsidR="0014024B">
              <w:rPr>
                <w:bCs/>
              </w:rPr>
              <w:t xml:space="preserve">veida </w:t>
            </w:r>
            <w:r w:rsidR="001E5E46" w:rsidRPr="00071E7A">
              <w:rPr>
                <w:bCs/>
              </w:rPr>
              <w:t>sniegšanu, kā arī ekspertīžu veikšanai ir iegādātas jaunas iekārtas un tehniskie līdzekļi.</w:t>
            </w:r>
          </w:p>
          <w:p w14:paraId="79CC4D54" w14:textId="77777777" w:rsidR="00FA09D2" w:rsidRDefault="001E5E46" w:rsidP="00D95E84">
            <w:pPr>
              <w:ind w:firstLine="549"/>
              <w:jc w:val="both"/>
            </w:pPr>
            <w:r w:rsidRPr="00071E7A">
              <w:rPr>
                <w:bCs/>
              </w:rPr>
              <w:t>Ievērojot minēto</w:t>
            </w:r>
            <w:r w:rsidRPr="00214246">
              <w:rPr>
                <w:bCs/>
              </w:rPr>
              <w:t xml:space="preserve">, secināms, ka </w:t>
            </w:r>
            <w:r w:rsidR="00D932F1" w:rsidRPr="00214246">
              <w:rPr>
                <w:shd w:val="clear" w:color="auto" w:fill="FFFFFF"/>
              </w:rPr>
              <w:t xml:space="preserve">maksas pakalpojuma veidam </w:t>
            </w:r>
            <w:r w:rsidR="00D932F1" w:rsidRPr="00214246">
              <w:t>“Dokumentu tehniskā ekspertīze”</w:t>
            </w:r>
            <w:r w:rsidR="00E35C73" w:rsidRPr="00214246">
              <w:rPr>
                <w:bCs/>
              </w:rPr>
              <w:t xml:space="preserve"> nepieciešams palielināt </w:t>
            </w:r>
            <w:r w:rsidR="00E35C73">
              <w:rPr>
                <w:bCs/>
              </w:rPr>
              <w:t xml:space="preserve">pakalpojuma </w:t>
            </w:r>
            <w:r w:rsidR="00E35C73" w:rsidRPr="00214246">
              <w:rPr>
                <w:bCs/>
              </w:rPr>
              <w:t>cenu</w:t>
            </w:r>
            <w:r w:rsidR="00D932F1" w:rsidRPr="00214246">
              <w:t>.</w:t>
            </w:r>
            <w:r w:rsidR="00D95E84">
              <w:t xml:space="preserve"> </w:t>
            </w:r>
          </w:p>
          <w:p w14:paraId="4BEDC791" w14:textId="2DBF7B90" w:rsidR="001E5E46" w:rsidRDefault="00D95E84" w:rsidP="00D95E84">
            <w:pPr>
              <w:ind w:firstLine="549"/>
              <w:jc w:val="both"/>
            </w:pPr>
            <w:r>
              <w:lastRenderedPageBreak/>
              <w:t xml:space="preserve">Papildus minētajam </w:t>
            </w:r>
            <w:r w:rsidRPr="00214246">
              <w:rPr>
                <w:shd w:val="clear" w:color="auto" w:fill="FFFFFF"/>
              </w:rPr>
              <w:t>pakalpojuma veid</w:t>
            </w:r>
            <w:r>
              <w:rPr>
                <w:shd w:val="clear" w:color="auto" w:fill="FFFFFF"/>
              </w:rPr>
              <w:t>s</w:t>
            </w:r>
            <w:r w:rsidRPr="00214246">
              <w:rPr>
                <w:shd w:val="clear" w:color="auto" w:fill="FFFFFF"/>
              </w:rPr>
              <w:t xml:space="preserve"> </w:t>
            </w:r>
            <w:r w:rsidRPr="00214246">
              <w:t>“Dokumentu tehniskā ekspertīze”</w:t>
            </w:r>
            <w:r>
              <w:t xml:space="preserve"> </w:t>
            </w:r>
            <w:r w:rsidR="00EB730A">
              <w:t xml:space="preserve">ir </w:t>
            </w:r>
            <w:r>
              <w:t>saglabājams šādu iemeslu dēļ:</w:t>
            </w:r>
          </w:p>
          <w:p w14:paraId="25F41A75" w14:textId="77777777" w:rsidR="00FA09D2" w:rsidRDefault="003D4DD9" w:rsidP="00382E5B">
            <w:pPr>
              <w:pStyle w:val="ListParagraph"/>
              <w:numPr>
                <w:ilvl w:val="0"/>
                <w:numId w:val="6"/>
              </w:numPr>
              <w:ind w:left="0" w:firstLine="265"/>
              <w:jc w:val="both"/>
            </w:pPr>
            <w:r>
              <w:t>Valsts robežsardzes Ekspertīžu dienest</w:t>
            </w:r>
            <w:r w:rsidR="00EB730A">
              <w:t>am ir paredzēta kompetence</w:t>
            </w:r>
            <w:r w:rsidR="006D78EA">
              <w:t xml:space="preserve"> tiesu ekspertīžu jomu regulējošajos normatīvajos aktos un Civilprocesa likumā</w:t>
            </w:r>
            <w:r w:rsidR="00EB730A">
              <w:t xml:space="preserve">. </w:t>
            </w:r>
          </w:p>
          <w:p w14:paraId="002695A4" w14:textId="6B4F13C6" w:rsidR="003D4DD9" w:rsidRDefault="00EB730A" w:rsidP="00FA09D2">
            <w:pPr>
              <w:ind w:firstLine="690"/>
              <w:jc w:val="both"/>
            </w:pPr>
            <w:r>
              <w:t xml:space="preserve">Piemēram, saskaņā ar tiesu ekspertīžu jomu </w:t>
            </w:r>
            <w:r w:rsidR="009563D9">
              <w:t xml:space="preserve">reglamentējošiem normatīvajiem </w:t>
            </w:r>
            <w:r>
              <w:t>aktiem Valsts robežsardzes Ekspertīžu dienest</w:t>
            </w:r>
            <w:r w:rsidR="00427274">
              <w:t>s</w:t>
            </w:r>
            <w:r w:rsidR="00CE6BA3">
              <w:t>(-a):</w:t>
            </w:r>
            <w:r w:rsidR="003D4DD9">
              <w:t xml:space="preserve"> </w:t>
            </w:r>
            <w:r w:rsidR="00CE6BA3">
              <w:t xml:space="preserve">1) atbilst </w:t>
            </w:r>
            <w:r w:rsidR="003D4DD9">
              <w:t xml:space="preserve">valsts institūcijas struktūrvienībai, kuras pamatdarbība ir </w:t>
            </w:r>
            <w:r w:rsidR="00CE6BA3">
              <w:t>tiesu ekspertīžu veikšana</w:t>
            </w:r>
            <w:r w:rsidR="006D78EA">
              <w:rPr>
                <w:rStyle w:val="FootnoteReference"/>
              </w:rPr>
              <w:footnoteReference w:id="3"/>
            </w:r>
            <w:r w:rsidR="00CE6BA3">
              <w:t xml:space="preserve">, 2) atbilst </w:t>
            </w:r>
            <w:r w:rsidR="003D4DD9">
              <w:t>tiesu ekspertīžu iestād</w:t>
            </w:r>
            <w:r w:rsidR="00CE6BA3">
              <w:t>ei</w:t>
            </w:r>
            <w:r w:rsidR="006D78EA">
              <w:rPr>
                <w:rStyle w:val="FootnoteReference"/>
              </w:rPr>
              <w:footnoteReference w:id="4"/>
            </w:r>
            <w:r w:rsidR="002A62CF">
              <w:t>,</w:t>
            </w:r>
            <w:r w:rsidR="00CE6BA3">
              <w:t xml:space="preserve"> 3) </w:t>
            </w:r>
            <w:r w:rsidR="00CE6BA3" w:rsidRPr="006D78EA">
              <w:t>tiesu eksperti ir sertificēti un iekļauti Tiesu ekspertu reģistr</w:t>
            </w:r>
            <w:r w:rsidR="00427274" w:rsidRPr="006D78EA">
              <w:t>ā</w:t>
            </w:r>
            <w:r w:rsidR="006D78EA">
              <w:rPr>
                <w:rStyle w:val="FootnoteReference"/>
              </w:rPr>
              <w:footnoteReference w:id="5"/>
            </w:r>
            <w:r w:rsidR="00427274" w:rsidRPr="006D78EA">
              <w:t>, 4) tiesu ekspertam ir pienākums veikt ekspertīzi pilnā apjomā, sniedzot zinātniski pamatotu un objektīvu tiesu eksperta atzinumu [..]</w:t>
            </w:r>
            <w:r w:rsidR="00382E5B">
              <w:rPr>
                <w:rStyle w:val="FootnoteReference"/>
              </w:rPr>
              <w:footnoteReference w:id="6"/>
            </w:r>
            <w:r w:rsidR="00427274" w:rsidRPr="006D78EA">
              <w:t>. Savukārt Civilprocesa likuma 122. pants cita starpā nosaka, ka</w:t>
            </w:r>
            <w:r w:rsidR="006D78EA" w:rsidRPr="006D78EA">
              <w:t>: 1)</w:t>
            </w:r>
            <w:r w:rsidR="00427274" w:rsidRPr="006D78EA">
              <w:t xml:space="preserve"> tiesu eksperts var atteikties no atzinuma došanas, ja viņam izsniegtie izpētāmie materiāli nav pietiekami vai ja uzdotie jautājumi pārsniedz viņa speciālo zināšanu robežas</w:t>
            </w:r>
            <w:r w:rsidR="006D78EA" w:rsidRPr="006D78EA">
              <w:t xml:space="preserve">, 2) </w:t>
            </w:r>
            <w:r w:rsidR="00427274" w:rsidRPr="006D78EA">
              <w:t>par atteikšanos bez attaisnojoša iemesla no savu pienākumu pildīšanas vai par apzināti nepatiesa atzinuma došanu eksperts ir atbildīgs saskaņā ar </w:t>
            </w:r>
            <w:r w:rsidR="00A37D19">
              <w:t>K</w:t>
            </w:r>
            <w:r w:rsidR="00427274" w:rsidRPr="006D78EA">
              <w:t>rimināllikumu</w:t>
            </w:r>
            <w:r w:rsidR="00382E5B">
              <w:t>;</w:t>
            </w:r>
          </w:p>
          <w:p w14:paraId="33EB4789" w14:textId="77777777" w:rsidR="00FA09D2" w:rsidRDefault="002B4548" w:rsidP="00901482">
            <w:pPr>
              <w:pStyle w:val="ListParagraph"/>
              <w:numPr>
                <w:ilvl w:val="0"/>
                <w:numId w:val="6"/>
              </w:numPr>
              <w:ind w:left="0" w:firstLine="265"/>
              <w:jc w:val="both"/>
            </w:pPr>
            <w:r>
              <w:t>Valsts robežsardzes Ekspertī</w:t>
            </w:r>
            <w:r w:rsidR="00813993">
              <w:t xml:space="preserve">žu dienests laika posmā no 2009. gada līdz 2019. gadam ir saņēmis 3 tiesu lēmumus par dokumentu tehniskās ekspertīzes noteikšanu civillietās un </w:t>
            </w:r>
            <w:r>
              <w:t xml:space="preserve"> </w:t>
            </w:r>
            <w:r w:rsidR="00813993">
              <w:t>5 privātpersonu dokumentu izpētes piepras</w:t>
            </w:r>
            <w:r w:rsidR="00E0079D">
              <w:t xml:space="preserve">ījumus. </w:t>
            </w:r>
          </w:p>
          <w:p w14:paraId="1943FF2C" w14:textId="638CE53F" w:rsidR="00E0079D" w:rsidRDefault="00E0079D" w:rsidP="00FA09D2">
            <w:pPr>
              <w:ind w:firstLine="690"/>
              <w:jc w:val="both"/>
            </w:pPr>
            <w:r>
              <w:t xml:space="preserve">Valsts robežsardzes Ekspertīžu dienests, izvērtējot </w:t>
            </w:r>
            <w:r w:rsidR="00FA09D2">
              <w:t xml:space="preserve">minētos </w:t>
            </w:r>
            <w:r>
              <w:t>dokumentus, 2 gadījumos konstatēja, ka tiesu ekspertiem uzdotie jautājumi ne</w:t>
            </w:r>
            <w:r w:rsidR="00FA09D2">
              <w:t>bija viņu kompetencē</w:t>
            </w:r>
            <w:r>
              <w:t xml:space="preserve">, 1 gadījumā saņemtie materiāli nebija pietiekami atzinuma sniegšanai, kā arī 5 gadījumos uzdoto jautājumu noskaidrošanai nebija pieejama zinātniski </w:t>
            </w:r>
            <w:r w:rsidR="00E34EF3">
              <w:t>pamatot</w:t>
            </w:r>
            <w:r>
              <w:t xml:space="preserve">a izpētes metode. </w:t>
            </w:r>
            <w:r w:rsidR="00E34EF3">
              <w:t xml:space="preserve">Līdz ar to dokumentu tehniskās ekspertīzes noteicējiem tika izsniegti pamatoti paziņojumi par ekspertīzes veikšanas neiespējamību. </w:t>
            </w:r>
          </w:p>
          <w:p w14:paraId="27622175" w14:textId="68F6A7F6" w:rsidR="00366A7B" w:rsidRPr="00214246" w:rsidRDefault="00FA09D2" w:rsidP="00366A7B">
            <w:pPr>
              <w:ind w:firstLine="549"/>
              <w:jc w:val="both"/>
              <w:rPr>
                <w:bCs/>
              </w:rPr>
            </w:pPr>
            <w:r>
              <w:rPr>
                <w:bCs/>
              </w:rPr>
              <w:t>P</w:t>
            </w:r>
            <w:r w:rsidR="00366A7B" w:rsidRPr="00214246">
              <w:rPr>
                <w:bCs/>
              </w:rPr>
              <w:t xml:space="preserve">ārskatot </w:t>
            </w:r>
            <w:r w:rsidR="00366A7B" w:rsidRPr="00214246">
              <w:t>Valsts robežsardzes sniegtos maksas pakalpojuma veidus</w:t>
            </w:r>
            <w:r w:rsidR="00366A7B" w:rsidRPr="00214246">
              <w:rPr>
                <w:bCs/>
              </w:rPr>
              <w:t>, Valsts robežsardze ir konstatējusi, ka nepieciešams svītrot:</w:t>
            </w:r>
          </w:p>
          <w:p w14:paraId="1754D91A" w14:textId="6D2C2FA5" w:rsidR="00093E41" w:rsidRPr="00214246" w:rsidRDefault="00366A7B" w:rsidP="00D932F1">
            <w:pPr>
              <w:pStyle w:val="NoSpacing"/>
              <w:numPr>
                <w:ilvl w:val="0"/>
                <w:numId w:val="2"/>
              </w:numPr>
              <w:ind w:left="0" w:firstLine="265"/>
              <w:jc w:val="both"/>
              <w:rPr>
                <w:bCs/>
              </w:rPr>
            </w:pPr>
            <w:r w:rsidRPr="00214246">
              <w:rPr>
                <w:shd w:val="clear" w:color="auto" w:fill="FFFFFF"/>
              </w:rPr>
              <w:t xml:space="preserve">maksas pakalpojuma veidu “Valsts robežsardzes kuģošanas līdzekļu iesaistīšana palīdzības sniegšanā kuģošanas līdzekļiem Latvijas Republikas jurisdikcijai pakļautajos ūdeņos, ledus laušanā ostu akvatorijās”, jo </w:t>
            </w:r>
            <w:r w:rsidR="00D932F1" w:rsidRPr="00214246">
              <w:rPr>
                <w:shd w:val="clear" w:color="auto" w:fill="FFFFFF"/>
              </w:rPr>
              <w:t>pēc tā nav pieprasījuma;</w:t>
            </w:r>
          </w:p>
          <w:p w14:paraId="532CAFFF" w14:textId="6C88CF44" w:rsidR="00D932F1" w:rsidRPr="00214246" w:rsidRDefault="00D932F1" w:rsidP="00D932F1">
            <w:pPr>
              <w:pStyle w:val="NoSpacing"/>
              <w:numPr>
                <w:ilvl w:val="0"/>
                <w:numId w:val="3"/>
              </w:numPr>
              <w:ind w:left="0" w:firstLine="330"/>
              <w:jc w:val="both"/>
            </w:pPr>
            <w:r w:rsidRPr="00214246">
              <w:t xml:space="preserve">maksas pakalpojuma veidu “Valsts robežsardzes amatpersonu ar speciālajām dienesta pakāpēm iesaistīšana zemūdens darbu veikšanā”, jo  Valsts robežsardzē nav </w:t>
            </w:r>
            <w:r w:rsidRPr="00214246">
              <w:lastRenderedPageBreak/>
              <w:t xml:space="preserve">atbilstoši kvalificētu speciālistu, kuri varētu nodrošināt attiecīgā pakalpojuma veida sniegšanu.  </w:t>
            </w:r>
          </w:p>
          <w:p w14:paraId="6F5BC3FC" w14:textId="0809979E" w:rsidR="00D932F1" w:rsidRDefault="00D932F1" w:rsidP="00E35C73">
            <w:pPr>
              <w:pStyle w:val="CommentText"/>
              <w:ind w:firstLine="549"/>
              <w:jc w:val="both"/>
              <w:rPr>
                <w:bCs/>
                <w:sz w:val="24"/>
                <w:szCs w:val="24"/>
              </w:rPr>
            </w:pPr>
            <w:r w:rsidRPr="00214246">
              <w:rPr>
                <w:sz w:val="24"/>
                <w:szCs w:val="24"/>
              </w:rPr>
              <w:t xml:space="preserve">Ievērojot visu augstāk minēto, </w:t>
            </w:r>
            <w:r w:rsidR="00087834" w:rsidRPr="00214246">
              <w:rPr>
                <w:sz w:val="24"/>
                <w:szCs w:val="24"/>
              </w:rPr>
              <w:t xml:space="preserve">secināms, ka </w:t>
            </w:r>
            <w:r w:rsidR="00087834" w:rsidRPr="00214246">
              <w:rPr>
                <w:bCs/>
                <w:sz w:val="24"/>
                <w:szCs w:val="24"/>
              </w:rPr>
              <w:t>p</w:t>
            </w:r>
            <w:r w:rsidRPr="00214246">
              <w:rPr>
                <w:bCs/>
                <w:sz w:val="24"/>
                <w:szCs w:val="24"/>
              </w:rPr>
              <w:t xml:space="preserve">rojekts </w:t>
            </w:r>
            <w:r w:rsidR="00087834" w:rsidRPr="00214246">
              <w:rPr>
                <w:bCs/>
                <w:sz w:val="24"/>
                <w:szCs w:val="24"/>
              </w:rPr>
              <w:t xml:space="preserve">pēc būtības </w:t>
            </w:r>
            <w:r w:rsidRPr="00214246">
              <w:rPr>
                <w:bCs/>
                <w:sz w:val="24"/>
                <w:szCs w:val="24"/>
              </w:rPr>
              <w:t xml:space="preserve">paredz aktualizēt </w:t>
            </w:r>
            <w:r w:rsidR="00087834" w:rsidRPr="00214246">
              <w:rPr>
                <w:bCs/>
                <w:sz w:val="24"/>
                <w:szCs w:val="24"/>
              </w:rPr>
              <w:t>Valsts robežsardzes</w:t>
            </w:r>
            <w:r w:rsidRPr="00214246">
              <w:rPr>
                <w:bCs/>
                <w:sz w:val="24"/>
                <w:szCs w:val="24"/>
              </w:rPr>
              <w:t xml:space="preserve"> sniegto maksas pakalpojumu cenrādi atbilstoši faktiskajai situācijai, kā arī turpmāk nepiedāvāt vairākus </w:t>
            </w:r>
            <w:r w:rsidR="00EC7D75" w:rsidRPr="00214246">
              <w:rPr>
                <w:bCs/>
                <w:sz w:val="24"/>
                <w:szCs w:val="24"/>
              </w:rPr>
              <w:t xml:space="preserve">maksas pakalpojumu veidus. </w:t>
            </w:r>
          </w:p>
          <w:p w14:paraId="135AF6A6" w14:textId="345AB86C" w:rsidR="006A1D0F" w:rsidRDefault="00356E4D" w:rsidP="006D59D2">
            <w:pPr>
              <w:pStyle w:val="ListParagraph"/>
              <w:numPr>
                <w:ilvl w:val="0"/>
                <w:numId w:val="4"/>
              </w:numPr>
              <w:ind w:left="0" w:firstLine="407"/>
              <w:jc w:val="both"/>
            </w:pPr>
            <w:r w:rsidRPr="00214246">
              <w:rPr>
                <w:rFonts w:eastAsia="Lucida Sans Unicode"/>
                <w:kern w:val="1"/>
              </w:rPr>
              <w:t xml:space="preserve">Maksas pakalpojuma </w:t>
            </w:r>
            <w:r w:rsidRPr="00214246">
              <w:rPr>
                <w:shd w:val="clear" w:color="auto" w:fill="FFFFFF"/>
              </w:rPr>
              <w:t xml:space="preserve">veidam </w:t>
            </w:r>
            <w:r w:rsidRPr="00214246">
              <w:t xml:space="preserve">“Dokumentu tehniskā ekspertīze” </w:t>
            </w:r>
            <w:r w:rsidR="00F54BF9">
              <w:t>saskaņā ar P</w:t>
            </w:r>
            <w:r w:rsidR="006A1D0F" w:rsidRPr="00214246">
              <w:t>ievienotās vērtības nodokļa likuma 3.</w:t>
            </w:r>
            <w:r w:rsidR="00E43F9F">
              <w:t xml:space="preserve"> </w:t>
            </w:r>
            <w:r w:rsidR="006A1D0F" w:rsidRPr="00214246">
              <w:t xml:space="preserve">panta astoto daļu pievienotās vērtības nodokli nepiemēro, jo saskaņā ar </w:t>
            </w:r>
            <w:r w:rsidR="00767EED" w:rsidRPr="00214246">
              <w:t xml:space="preserve">Tiesu ekspertu likumu, </w:t>
            </w:r>
            <w:r w:rsidR="00E35C73">
              <w:t xml:space="preserve">Ministru kabineta 2016. gada 20. </w:t>
            </w:r>
            <w:r w:rsidR="00767EED" w:rsidRPr="00214246">
              <w:t xml:space="preserve">decembra noteikumiem Nr. </w:t>
            </w:r>
            <w:r w:rsidR="006D59D2">
              <w:t>835</w:t>
            </w:r>
            <w:r w:rsidR="00767EED" w:rsidRPr="00214246">
              <w:t xml:space="preserve"> “Noteikumi par tiesu ekspertīžu iestāžu sarakstu un tiesu ekspertu specialitāšu klasifikatoru” un Valsts robežsardzes 2017. gada 27. decembra reglamentu Nr. 32 “Valsts robežsardzes reglaments” Valsts robežsardzes Ekspertīžu dienests veic  valsts tiesu eksperta uzdevumus. </w:t>
            </w:r>
          </w:p>
          <w:p w14:paraId="3BF0E592" w14:textId="0756D746" w:rsidR="00CF611F" w:rsidRDefault="007F16C1" w:rsidP="006F595A">
            <w:pPr>
              <w:pStyle w:val="ListParagraph"/>
              <w:numPr>
                <w:ilvl w:val="0"/>
                <w:numId w:val="4"/>
              </w:numPr>
              <w:ind w:left="0" w:firstLine="407"/>
              <w:jc w:val="both"/>
            </w:pPr>
            <w:r>
              <w:t xml:space="preserve">Projekts ir </w:t>
            </w:r>
            <w:r w:rsidR="006F595A">
              <w:t>izstrādāts</w:t>
            </w:r>
            <w:r>
              <w:t xml:space="preserve"> </w:t>
            </w:r>
            <w:r w:rsidRPr="00214246">
              <w:rPr>
                <w:rFonts w:eastAsia="Lucida Sans Unicode"/>
                <w:kern w:val="1"/>
              </w:rPr>
              <w:t xml:space="preserve">atbilstoši Ministru kabineta 2011. gada 3. maija noteikumu Nr. 333 “Kārtība, kādā plānojami un uzskaitāmi ieņēmumi no maksas pakalpojumiem un ar šo pakalpojumu sniegšanu saistītie izdevumi, kā arī maksas pakalpojumu izcenojumu noteikšanas metodika un izcenojumu apstiprināšanas kārtība” </w:t>
            </w:r>
            <w:r>
              <w:rPr>
                <w:rFonts w:eastAsia="Lucida Sans Unicode"/>
                <w:kern w:val="1"/>
              </w:rPr>
              <w:t xml:space="preserve"> 10., 14. punkta un 18.2. apakšpunkta prasībām</w:t>
            </w:r>
            <w:r w:rsidR="006F595A">
              <w:rPr>
                <w:rFonts w:eastAsia="Lucida Sans Unicode"/>
                <w:kern w:val="1"/>
              </w:rPr>
              <w:t>.</w:t>
            </w:r>
          </w:p>
          <w:p w14:paraId="7F6BDB26" w14:textId="4A2630A3" w:rsidR="00EB3726" w:rsidRPr="00214246" w:rsidRDefault="001961D4" w:rsidP="00F54BF9">
            <w:pPr>
              <w:pStyle w:val="ListParagraph"/>
              <w:numPr>
                <w:ilvl w:val="0"/>
                <w:numId w:val="4"/>
              </w:numPr>
              <w:ind w:left="0" w:firstLine="407"/>
              <w:jc w:val="both"/>
            </w:pPr>
            <w:r w:rsidRPr="00214246">
              <w:t>P</w:t>
            </w:r>
            <w:r w:rsidR="0093219B" w:rsidRPr="00214246">
              <w:t>rojektam</w:t>
            </w:r>
            <w:r w:rsidR="00EB3726" w:rsidRPr="00214246">
              <w:t>,</w:t>
            </w:r>
            <w:r w:rsidR="0093219B" w:rsidRPr="00214246">
              <w:t xml:space="preserve"> </w:t>
            </w:r>
            <w:r w:rsidR="00EB3726" w:rsidRPr="00214246">
              <w:t>salīdzinot</w:t>
            </w:r>
            <w:r w:rsidRPr="00214246">
              <w:t xml:space="preserve"> ar </w:t>
            </w:r>
            <w:r w:rsidRPr="00214246">
              <w:rPr>
                <w:bCs/>
              </w:rPr>
              <w:t>Noteikumiem Nr. 560</w:t>
            </w:r>
            <w:r w:rsidR="00EB3726" w:rsidRPr="00214246">
              <w:rPr>
                <w:bCs/>
              </w:rPr>
              <w:t>,</w:t>
            </w:r>
            <w:r w:rsidRPr="00214246">
              <w:rPr>
                <w:bCs/>
              </w:rPr>
              <w:t xml:space="preserve"> </w:t>
            </w:r>
            <w:r w:rsidR="0093219B" w:rsidRPr="00214246">
              <w:t xml:space="preserve">ir </w:t>
            </w:r>
            <w:r w:rsidR="00F54BF9">
              <w:t>cits</w:t>
            </w:r>
            <w:r w:rsidR="0093219B" w:rsidRPr="00214246">
              <w:t xml:space="preserve"> </w:t>
            </w:r>
            <w:r w:rsidRPr="00214246">
              <w:t>tā izdošanas</w:t>
            </w:r>
            <w:r w:rsidR="0093219B" w:rsidRPr="00214246">
              <w:t xml:space="preserve"> tiesiskais pamats, jo 2016. gada 15. martā stājās spēkā jauns Tiesu ekspertu likums, un tā 11. panta trešā daļa nosaka, ka tiesu ekspertīžu iestādes un valsts tiešās pārvaldes iestādes, kurā tiesu eksperta pienākumus pilda valsts tiesu eksperts, kompetencē esošo tiesu ekspertīžu maksas pakalpojumu cenrādi apstiprina Likumā par budžetu un finanšu vadību</w:t>
            </w:r>
            <w:r w:rsidRPr="00214246">
              <w:t xml:space="preserve"> (turpmāk – Budžeta likums)</w:t>
            </w:r>
            <w:r w:rsidR="0093219B" w:rsidRPr="00214246">
              <w:t> noteiktajā kārtībā.</w:t>
            </w:r>
            <w:r w:rsidRPr="00214246">
              <w:t xml:space="preserve"> Budžeta likuma 5. panta devītā daļa nosaka Ministru kabinets izdod noteikumus par valsts tiešās pārvaldes iestāžu sniegto maksas pakalpojumu cenrāžu apstiprināšanu. </w:t>
            </w:r>
          </w:p>
          <w:p w14:paraId="269CE5C8" w14:textId="67C34F3E" w:rsidR="0083260E" w:rsidRPr="00214246" w:rsidRDefault="001961D4" w:rsidP="00EB3726">
            <w:pPr>
              <w:ind w:firstLine="407"/>
              <w:jc w:val="both"/>
            </w:pPr>
            <w:r w:rsidRPr="00214246">
              <w:t xml:space="preserve">Ievērojot minēto, secināms, ka turpmāk projekta izdošanas tiesiskais pamats būs </w:t>
            </w:r>
            <w:r w:rsidR="00EB3726" w:rsidRPr="00214246">
              <w:t xml:space="preserve">tikai </w:t>
            </w:r>
            <w:r w:rsidRPr="00214246">
              <w:t xml:space="preserve">Budžeta likuma 5. panta devītā daļa.   </w:t>
            </w:r>
          </w:p>
        </w:tc>
      </w:tr>
      <w:tr w:rsidR="00BD5588" w:rsidRPr="00DB5DCA" w14:paraId="224D0CC1" w14:textId="77777777" w:rsidTr="006B2B5C">
        <w:tc>
          <w:tcPr>
            <w:tcW w:w="311" w:type="pct"/>
            <w:hideMark/>
          </w:tcPr>
          <w:p w14:paraId="531B7356" w14:textId="72B275ED" w:rsidR="00BD5588" w:rsidRPr="00DB5DCA" w:rsidRDefault="00BD5588" w:rsidP="00DB5DCA">
            <w:pPr>
              <w:jc w:val="center"/>
              <w:rPr>
                <w:sz w:val="28"/>
                <w:szCs w:val="28"/>
              </w:rPr>
            </w:pPr>
            <w:r w:rsidRPr="00DB5DCA">
              <w:rPr>
                <w:sz w:val="28"/>
                <w:szCs w:val="28"/>
              </w:rPr>
              <w:lastRenderedPageBreak/>
              <w:t>3.</w:t>
            </w:r>
          </w:p>
        </w:tc>
        <w:tc>
          <w:tcPr>
            <w:tcW w:w="1479" w:type="pct"/>
            <w:hideMark/>
          </w:tcPr>
          <w:p w14:paraId="5F249DDB" w14:textId="77777777" w:rsidR="00BD5588" w:rsidRPr="00214246" w:rsidRDefault="00BD5588" w:rsidP="00DB5DCA">
            <w:r w:rsidRPr="00214246">
              <w:t>Projekta izstrādē iesaistītās institūcijas un publiskas personas kapitālsabiedrības</w:t>
            </w:r>
          </w:p>
        </w:tc>
        <w:tc>
          <w:tcPr>
            <w:tcW w:w="3210" w:type="pct"/>
            <w:hideMark/>
          </w:tcPr>
          <w:p w14:paraId="1AC8BED1" w14:textId="63DF9A83" w:rsidR="00BD5588" w:rsidRPr="00214246" w:rsidRDefault="0093219B" w:rsidP="003D7895">
            <w:r w:rsidRPr="00214246">
              <w:rPr>
                <w:rFonts w:eastAsia="EUAlbertina_Bold"/>
              </w:rPr>
              <w:t xml:space="preserve">Iekšlietu ministrija, </w:t>
            </w:r>
            <w:r w:rsidR="003048F2" w:rsidRPr="00214246">
              <w:rPr>
                <w:rFonts w:eastAsia="EUAlbertina_Bold"/>
              </w:rPr>
              <w:t>Valsts robežsardze</w:t>
            </w:r>
            <w:r w:rsidRPr="00214246">
              <w:rPr>
                <w:rFonts w:eastAsia="EUAlbertina_Bold"/>
              </w:rPr>
              <w:t>.</w:t>
            </w:r>
          </w:p>
        </w:tc>
      </w:tr>
      <w:tr w:rsidR="00BD5588" w:rsidRPr="00DB5DCA" w14:paraId="60803EF8" w14:textId="77777777" w:rsidTr="006B2B5C">
        <w:tc>
          <w:tcPr>
            <w:tcW w:w="311" w:type="pct"/>
            <w:hideMark/>
          </w:tcPr>
          <w:p w14:paraId="00EEFDC4" w14:textId="77777777" w:rsidR="00BD5588" w:rsidRPr="00DB5DCA" w:rsidRDefault="00BD5588" w:rsidP="00DB5DCA">
            <w:pPr>
              <w:jc w:val="center"/>
              <w:rPr>
                <w:sz w:val="28"/>
                <w:szCs w:val="28"/>
              </w:rPr>
            </w:pPr>
            <w:r w:rsidRPr="00DB5DCA">
              <w:rPr>
                <w:sz w:val="28"/>
                <w:szCs w:val="28"/>
              </w:rPr>
              <w:t>4.</w:t>
            </w:r>
          </w:p>
        </w:tc>
        <w:tc>
          <w:tcPr>
            <w:tcW w:w="1479" w:type="pct"/>
            <w:hideMark/>
          </w:tcPr>
          <w:p w14:paraId="6B89FDC6" w14:textId="77777777" w:rsidR="00BD5588" w:rsidRPr="00214246" w:rsidRDefault="00BD5588" w:rsidP="00DB5DCA">
            <w:r w:rsidRPr="00214246">
              <w:t>Cita informācija</w:t>
            </w:r>
          </w:p>
        </w:tc>
        <w:tc>
          <w:tcPr>
            <w:tcW w:w="3210" w:type="pct"/>
            <w:hideMark/>
          </w:tcPr>
          <w:p w14:paraId="27D99044" w14:textId="77777777" w:rsidR="00BD5588" w:rsidRPr="00214246" w:rsidRDefault="007309E5" w:rsidP="00DB5DCA">
            <w:r w:rsidRPr="00214246">
              <w:t>Nav</w:t>
            </w:r>
            <w:r w:rsidR="00136611" w:rsidRPr="00214246">
              <w:t>.</w:t>
            </w:r>
          </w:p>
        </w:tc>
      </w:tr>
    </w:tbl>
    <w:p w14:paraId="2411705E" w14:textId="77777777" w:rsidR="00CF611F" w:rsidRPr="00DB5DCA" w:rsidRDefault="00CF611F" w:rsidP="006D4BEF">
      <w:pPr>
        <w:pStyle w:val="Title"/>
        <w:spacing w:before="130"/>
        <w:jc w:val="both"/>
        <w:rPr>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DB5DCA" w14:paraId="66494DB2" w14:textId="77777777" w:rsidTr="00656475">
        <w:tc>
          <w:tcPr>
            <w:tcW w:w="5000" w:type="pct"/>
            <w:gridSpan w:val="3"/>
            <w:vAlign w:val="center"/>
            <w:hideMark/>
          </w:tcPr>
          <w:p w14:paraId="1CF10B40" w14:textId="77777777" w:rsidR="00BD5588" w:rsidRPr="00214246" w:rsidRDefault="00BD5588" w:rsidP="00DB5DCA">
            <w:pPr>
              <w:jc w:val="center"/>
              <w:rPr>
                <w:b/>
                <w:bCs/>
              </w:rPr>
            </w:pPr>
            <w:r w:rsidRPr="00214246">
              <w:rPr>
                <w:b/>
                <w:bCs/>
              </w:rPr>
              <w:t>II. Tiesību akta projekta ietekme uz sabiedrību, tautsaimniecības attīstību un administratīvo slogu</w:t>
            </w:r>
          </w:p>
        </w:tc>
      </w:tr>
      <w:tr w:rsidR="00BD5588" w:rsidRPr="00DB5DCA" w14:paraId="025FEC1C" w14:textId="77777777" w:rsidTr="00656475">
        <w:tc>
          <w:tcPr>
            <w:tcW w:w="311" w:type="pct"/>
            <w:hideMark/>
          </w:tcPr>
          <w:p w14:paraId="25368F64" w14:textId="77777777" w:rsidR="00BD5588" w:rsidRPr="00DB5DCA" w:rsidRDefault="00BD5588" w:rsidP="00DB5DCA">
            <w:pPr>
              <w:jc w:val="center"/>
              <w:rPr>
                <w:sz w:val="28"/>
                <w:szCs w:val="28"/>
              </w:rPr>
            </w:pPr>
            <w:r w:rsidRPr="00DB5DCA">
              <w:rPr>
                <w:sz w:val="28"/>
                <w:szCs w:val="28"/>
              </w:rPr>
              <w:t>1.</w:t>
            </w:r>
          </w:p>
        </w:tc>
        <w:tc>
          <w:tcPr>
            <w:tcW w:w="1479" w:type="pct"/>
            <w:hideMark/>
          </w:tcPr>
          <w:p w14:paraId="3927AE1E" w14:textId="77777777" w:rsidR="00BD5588" w:rsidRPr="00214246" w:rsidRDefault="00BD5588" w:rsidP="00DB5DCA">
            <w:r w:rsidRPr="00214246">
              <w:t xml:space="preserve">Sabiedrības </w:t>
            </w:r>
            <w:proofErr w:type="spellStart"/>
            <w:r w:rsidRPr="00214246">
              <w:t>mērķgrupas</w:t>
            </w:r>
            <w:proofErr w:type="spellEnd"/>
            <w:r w:rsidRPr="00214246">
              <w:t xml:space="preserve">, kuras tiesiskais regulējums </w:t>
            </w:r>
            <w:r w:rsidRPr="00214246">
              <w:lastRenderedPageBreak/>
              <w:t>ietekmē vai varētu ietekmēt</w:t>
            </w:r>
          </w:p>
        </w:tc>
        <w:tc>
          <w:tcPr>
            <w:tcW w:w="3210" w:type="pct"/>
            <w:hideMark/>
          </w:tcPr>
          <w:p w14:paraId="424F96FB" w14:textId="605E3C87" w:rsidR="007309E5" w:rsidRPr="00214246" w:rsidRDefault="007309E5" w:rsidP="008909F2">
            <w:pPr>
              <w:jc w:val="both"/>
            </w:pPr>
            <w:r w:rsidRPr="00214246">
              <w:lastRenderedPageBreak/>
              <w:t>P</w:t>
            </w:r>
            <w:r w:rsidR="00A24214" w:rsidRPr="00214246">
              <w:t>ersonas, kuras izmantos</w:t>
            </w:r>
            <w:r w:rsidR="00BE6630" w:rsidRPr="00214246">
              <w:t xml:space="preserve"> </w:t>
            </w:r>
            <w:r w:rsidR="00842981" w:rsidRPr="00214246">
              <w:t>Valsts robežsardzes</w:t>
            </w:r>
            <w:r w:rsidR="00CF254C">
              <w:t xml:space="preserve"> sniegto</w:t>
            </w:r>
            <w:r w:rsidRPr="00214246">
              <w:t xml:space="preserve"> </w:t>
            </w:r>
            <w:r w:rsidR="008909F2">
              <w:rPr>
                <w:rFonts w:eastAsia="Lucida Sans Unicode"/>
                <w:kern w:val="1"/>
              </w:rPr>
              <w:t>m</w:t>
            </w:r>
            <w:r w:rsidR="008909F2" w:rsidRPr="00214246">
              <w:rPr>
                <w:rFonts w:eastAsia="Lucida Sans Unicode"/>
                <w:kern w:val="1"/>
              </w:rPr>
              <w:t>aksas pakalpojum</w:t>
            </w:r>
            <w:r w:rsidR="008909F2">
              <w:rPr>
                <w:rFonts w:eastAsia="Lucida Sans Unicode"/>
                <w:kern w:val="1"/>
              </w:rPr>
              <w:t>a</w:t>
            </w:r>
            <w:r w:rsidR="008909F2" w:rsidRPr="00214246">
              <w:rPr>
                <w:rFonts w:eastAsia="Lucida Sans Unicode"/>
                <w:kern w:val="1"/>
              </w:rPr>
              <w:t xml:space="preserve"> </w:t>
            </w:r>
            <w:r w:rsidR="008909F2" w:rsidRPr="00214246">
              <w:rPr>
                <w:shd w:val="clear" w:color="auto" w:fill="FFFFFF"/>
              </w:rPr>
              <w:t>veid</w:t>
            </w:r>
            <w:r w:rsidR="008909F2">
              <w:rPr>
                <w:shd w:val="clear" w:color="auto" w:fill="FFFFFF"/>
              </w:rPr>
              <w:t>u</w:t>
            </w:r>
            <w:r w:rsidR="008909F2" w:rsidRPr="00214246">
              <w:rPr>
                <w:shd w:val="clear" w:color="auto" w:fill="FFFFFF"/>
              </w:rPr>
              <w:t xml:space="preserve"> </w:t>
            </w:r>
            <w:r w:rsidR="008909F2" w:rsidRPr="00214246">
              <w:t>“Dokumentu tehniskā ekspertīze”</w:t>
            </w:r>
            <w:r w:rsidR="00842981" w:rsidRPr="00214246">
              <w:t>,</w:t>
            </w:r>
            <w:r w:rsidR="00AE5AC4" w:rsidRPr="00214246">
              <w:t xml:space="preserve"> un</w:t>
            </w:r>
            <w:r w:rsidR="00842981" w:rsidRPr="00214246">
              <w:t xml:space="preserve"> Valsts robežsardze.</w:t>
            </w:r>
          </w:p>
        </w:tc>
      </w:tr>
      <w:tr w:rsidR="00BD5588" w:rsidRPr="00DB5DCA" w14:paraId="4EAF1DFB" w14:textId="77777777" w:rsidTr="00656475">
        <w:tc>
          <w:tcPr>
            <w:tcW w:w="311" w:type="pct"/>
            <w:hideMark/>
          </w:tcPr>
          <w:p w14:paraId="34F1A83E" w14:textId="77777777" w:rsidR="00BD5588" w:rsidRPr="00DB5DCA" w:rsidRDefault="00BD5588" w:rsidP="00DB5DCA">
            <w:pPr>
              <w:jc w:val="center"/>
              <w:rPr>
                <w:sz w:val="28"/>
                <w:szCs w:val="28"/>
              </w:rPr>
            </w:pPr>
            <w:r w:rsidRPr="00DB5DCA">
              <w:rPr>
                <w:sz w:val="28"/>
                <w:szCs w:val="28"/>
              </w:rPr>
              <w:lastRenderedPageBreak/>
              <w:t>2.</w:t>
            </w:r>
          </w:p>
        </w:tc>
        <w:tc>
          <w:tcPr>
            <w:tcW w:w="1479" w:type="pct"/>
            <w:hideMark/>
          </w:tcPr>
          <w:p w14:paraId="35D02399" w14:textId="77777777" w:rsidR="00BD5588" w:rsidRPr="00214246" w:rsidRDefault="00BD5588" w:rsidP="00DB5DCA">
            <w:r w:rsidRPr="00214246">
              <w:t>Tiesiskā regulējuma ietekme uz tautsaimniecību un administratīvo slogu</w:t>
            </w:r>
          </w:p>
        </w:tc>
        <w:tc>
          <w:tcPr>
            <w:tcW w:w="3210" w:type="pct"/>
            <w:hideMark/>
          </w:tcPr>
          <w:p w14:paraId="0CF28398" w14:textId="21708722" w:rsidR="00BD5588" w:rsidRPr="00214246" w:rsidRDefault="003A3F1A" w:rsidP="0014024B">
            <w:pPr>
              <w:jc w:val="both"/>
            </w:pPr>
            <w:r w:rsidRPr="00214246">
              <w:t xml:space="preserve">Personas, kuras izmantos Valsts robežsardzes sniegtos </w:t>
            </w:r>
            <w:r>
              <w:rPr>
                <w:rFonts w:eastAsia="Lucida Sans Unicode"/>
                <w:kern w:val="1"/>
              </w:rPr>
              <w:t>m</w:t>
            </w:r>
            <w:r w:rsidRPr="00214246">
              <w:rPr>
                <w:rFonts w:eastAsia="Lucida Sans Unicode"/>
                <w:kern w:val="1"/>
              </w:rPr>
              <w:t>aksas pakalpojum</w:t>
            </w:r>
            <w:r>
              <w:rPr>
                <w:rFonts w:eastAsia="Lucida Sans Unicode"/>
                <w:kern w:val="1"/>
              </w:rPr>
              <w:t xml:space="preserve">us, turpmāk </w:t>
            </w:r>
            <w:r w:rsidR="0014024B">
              <w:rPr>
                <w:rFonts w:eastAsia="Lucida Sans Unicode"/>
                <w:kern w:val="1"/>
              </w:rPr>
              <w:t xml:space="preserve">būs tiesības </w:t>
            </w:r>
            <w:r>
              <w:rPr>
                <w:rFonts w:eastAsia="Lucida Sans Unicode"/>
                <w:kern w:val="1"/>
              </w:rPr>
              <w:t xml:space="preserve">izmantot maksas pakalpojuma </w:t>
            </w:r>
            <w:r w:rsidRPr="00214246">
              <w:rPr>
                <w:shd w:val="clear" w:color="auto" w:fill="FFFFFF"/>
              </w:rPr>
              <w:t>veid</w:t>
            </w:r>
            <w:r>
              <w:rPr>
                <w:shd w:val="clear" w:color="auto" w:fill="FFFFFF"/>
              </w:rPr>
              <w:t>u</w:t>
            </w:r>
            <w:r w:rsidRPr="00214246">
              <w:rPr>
                <w:shd w:val="clear" w:color="auto" w:fill="FFFFFF"/>
              </w:rPr>
              <w:t xml:space="preserve"> </w:t>
            </w:r>
            <w:r w:rsidRPr="00214246">
              <w:t>“Dokumentu tehniskā ekspertīze”</w:t>
            </w:r>
            <w:r>
              <w:t xml:space="preserve">. Savukārt Valsts robežsardzei turpmāk būs tiesības </w:t>
            </w:r>
            <w:r w:rsidR="0014024B">
              <w:t xml:space="preserve">sniegt </w:t>
            </w:r>
            <w:r>
              <w:t xml:space="preserve">tikai </w:t>
            </w:r>
            <w:r>
              <w:rPr>
                <w:rFonts w:eastAsia="Lucida Sans Unicode"/>
                <w:kern w:val="1"/>
              </w:rPr>
              <w:t>m</w:t>
            </w:r>
            <w:r w:rsidRPr="00214246">
              <w:rPr>
                <w:rFonts w:eastAsia="Lucida Sans Unicode"/>
                <w:kern w:val="1"/>
              </w:rPr>
              <w:t>aksas pakalpojum</w:t>
            </w:r>
            <w:r>
              <w:rPr>
                <w:rFonts w:eastAsia="Lucida Sans Unicode"/>
                <w:kern w:val="1"/>
              </w:rPr>
              <w:t>a</w:t>
            </w:r>
            <w:r w:rsidRPr="00214246">
              <w:rPr>
                <w:rFonts w:eastAsia="Lucida Sans Unicode"/>
                <w:kern w:val="1"/>
              </w:rPr>
              <w:t xml:space="preserve"> </w:t>
            </w:r>
            <w:r w:rsidRPr="00214246">
              <w:rPr>
                <w:shd w:val="clear" w:color="auto" w:fill="FFFFFF"/>
              </w:rPr>
              <w:t>veid</w:t>
            </w:r>
            <w:r>
              <w:rPr>
                <w:shd w:val="clear" w:color="auto" w:fill="FFFFFF"/>
              </w:rPr>
              <w:t>u</w:t>
            </w:r>
            <w:r w:rsidRPr="00214246">
              <w:rPr>
                <w:shd w:val="clear" w:color="auto" w:fill="FFFFFF"/>
              </w:rPr>
              <w:t xml:space="preserve"> </w:t>
            </w:r>
            <w:r w:rsidRPr="00214246">
              <w:t>“Dokumentu tehniskā ekspertīze</w:t>
            </w:r>
            <w:r>
              <w:t>”.</w:t>
            </w:r>
          </w:p>
        </w:tc>
      </w:tr>
      <w:tr w:rsidR="00BD5588" w:rsidRPr="00DB5DCA" w14:paraId="4BAA5788" w14:textId="77777777" w:rsidTr="00656475">
        <w:tc>
          <w:tcPr>
            <w:tcW w:w="311" w:type="pct"/>
            <w:hideMark/>
          </w:tcPr>
          <w:p w14:paraId="2F1E1621" w14:textId="77777777" w:rsidR="00BD5588" w:rsidRPr="00DB5DCA" w:rsidRDefault="00BD5588" w:rsidP="00DB5DCA">
            <w:pPr>
              <w:jc w:val="center"/>
              <w:rPr>
                <w:sz w:val="28"/>
                <w:szCs w:val="28"/>
              </w:rPr>
            </w:pPr>
            <w:r w:rsidRPr="00DB5DCA">
              <w:rPr>
                <w:sz w:val="28"/>
                <w:szCs w:val="28"/>
              </w:rPr>
              <w:t>3.</w:t>
            </w:r>
          </w:p>
        </w:tc>
        <w:tc>
          <w:tcPr>
            <w:tcW w:w="1479" w:type="pct"/>
            <w:hideMark/>
          </w:tcPr>
          <w:p w14:paraId="3043B1B4" w14:textId="77777777" w:rsidR="00BD5588" w:rsidRPr="00214246" w:rsidRDefault="00BD5588" w:rsidP="00DB5DCA">
            <w:r w:rsidRPr="00214246">
              <w:t>Administratīvo izmaksu monetārs novērtējums</w:t>
            </w:r>
          </w:p>
        </w:tc>
        <w:tc>
          <w:tcPr>
            <w:tcW w:w="3210" w:type="pct"/>
            <w:hideMark/>
          </w:tcPr>
          <w:p w14:paraId="30050555" w14:textId="77777777" w:rsidR="00BD5588" w:rsidRPr="00214246" w:rsidRDefault="004C0770" w:rsidP="00DB5DCA">
            <w:r w:rsidRPr="00214246">
              <w:t>Projekts šo jomu neskar</w:t>
            </w:r>
            <w:r w:rsidR="00136611" w:rsidRPr="00214246">
              <w:t>.</w:t>
            </w:r>
          </w:p>
        </w:tc>
      </w:tr>
      <w:tr w:rsidR="00BD5588" w:rsidRPr="00DB5DCA" w14:paraId="71784C36" w14:textId="77777777" w:rsidTr="00656475">
        <w:tc>
          <w:tcPr>
            <w:tcW w:w="311" w:type="pct"/>
            <w:hideMark/>
          </w:tcPr>
          <w:p w14:paraId="60ECEB73" w14:textId="77777777" w:rsidR="00BD5588" w:rsidRPr="00DB5DCA" w:rsidRDefault="00BD5588" w:rsidP="00DB5DCA">
            <w:pPr>
              <w:jc w:val="center"/>
              <w:rPr>
                <w:sz w:val="28"/>
                <w:szCs w:val="28"/>
              </w:rPr>
            </w:pPr>
            <w:r w:rsidRPr="00DB5DCA">
              <w:rPr>
                <w:sz w:val="28"/>
                <w:szCs w:val="28"/>
              </w:rPr>
              <w:t>4.</w:t>
            </w:r>
          </w:p>
        </w:tc>
        <w:tc>
          <w:tcPr>
            <w:tcW w:w="1479" w:type="pct"/>
            <w:hideMark/>
          </w:tcPr>
          <w:p w14:paraId="7C117BF5" w14:textId="77777777" w:rsidR="00BD5588" w:rsidRPr="00214246" w:rsidRDefault="00BD5588" w:rsidP="00DB5DCA">
            <w:r w:rsidRPr="00214246">
              <w:t>Atbilstības izmaksu monetārs novērtējums</w:t>
            </w:r>
          </w:p>
        </w:tc>
        <w:tc>
          <w:tcPr>
            <w:tcW w:w="3210" w:type="pct"/>
            <w:hideMark/>
          </w:tcPr>
          <w:p w14:paraId="45CD5665" w14:textId="77777777" w:rsidR="00BD5588" w:rsidRPr="00214246" w:rsidRDefault="004C0770" w:rsidP="00DB5DCA">
            <w:r w:rsidRPr="00214246">
              <w:t>Projekts šo jomu neskar</w:t>
            </w:r>
            <w:r w:rsidR="00136611" w:rsidRPr="00214246">
              <w:t>.</w:t>
            </w:r>
          </w:p>
        </w:tc>
      </w:tr>
      <w:tr w:rsidR="00BD5588" w:rsidRPr="00DB5DCA" w14:paraId="70DC2E97" w14:textId="77777777" w:rsidTr="00656475">
        <w:tc>
          <w:tcPr>
            <w:tcW w:w="311" w:type="pct"/>
            <w:hideMark/>
          </w:tcPr>
          <w:p w14:paraId="2F10A68F" w14:textId="77777777" w:rsidR="00BD5588" w:rsidRPr="00DB5DCA" w:rsidRDefault="00BD5588" w:rsidP="00DB5DCA">
            <w:pPr>
              <w:jc w:val="center"/>
              <w:rPr>
                <w:sz w:val="28"/>
                <w:szCs w:val="28"/>
              </w:rPr>
            </w:pPr>
            <w:r w:rsidRPr="00DB5DCA">
              <w:rPr>
                <w:sz w:val="28"/>
                <w:szCs w:val="28"/>
              </w:rPr>
              <w:t>5.</w:t>
            </w:r>
          </w:p>
        </w:tc>
        <w:tc>
          <w:tcPr>
            <w:tcW w:w="1479" w:type="pct"/>
            <w:hideMark/>
          </w:tcPr>
          <w:p w14:paraId="2CD28801" w14:textId="77777777" w:rsidR="00BD5588" w:rsidRPr="00214246" w:rsidRDefault="00BD5588" w:rsidP="00DB5DCA">
            <w:r w:rsidRPr="00214246">
              <w:t>Cita informācija</w:t>
            </w:r>
          </w:p>
        </w:tc>
        <w:tc>
          <w:tcPr>
            <w:tcW w:w="3210" w:type="pct"/>
            <w:hideMark/>
          </w:tcPr>
          <w:p w14:paraId="23B84FDA" w14:textId="77777777" w:rsidR="00BD5588" w:rsidRPr="00214246" w:rsidRDefault="004C0770" w:rsidP="00DB5DCA">
            <w:r w:rsidRPr="00214246">
              <w:t>Nav</w:t>
            </w:r>
            <w:r w:rsidR="00136611" w:rsidRPr="00214246">
              <w:t>.</w:t>
            </w:r>
          </w:p>
        </w:tc>
      </w:tr>
    </w:tbl>
    <w:p w14:paraId="49F4533C" w14:textId="77777777" w:rsidR="00F660BF" w:rsidRPr="00DB5DCA" w:rsidRDefault="00F660BF" w:rsidP="00DB5DCA">
      <w:pPr>
        <w:rPr>
          <w:sz w:val="28"/>
          <w:szCs w:val="28"/>
        </w:rPr>
      </w:pPr>
    </w:p>
    <w:p w14:paraId="636E4EC9" w14:textId="77777777" w:rsidR="001961D4" w:rsidRPr="00DB5DCA" w:rsidRDefault="001961D4" w:rsidP="00DB5DCA">
      <w:pPr>
        <w:rPr>
          <w:sz w:val="28"/>
          <w:szCs w:val="28"/>
        </w:rPr>
      </w:pPr>
    </w:p>
    <w:tbl>
      <w:tblPr>
        <w:tblW w:w="4986"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859"/>
        <w:gridCol w:w="1126"/>
        <w:gridCol w:w="1126"/>
        <w:gridCol w:w="984"/>
        <w:gridCol w:w="987"/>
        <w:gridCol w:w="985"/>
        <w:gridCol w:w="985"/>
        <w:gridCol w:w="984"/>
      </w:tblGrid>
      <w:tr w:rsidR="00BD5588" w:rsidRPr="00DB5DCA" w14:paraId="791FAC8D" w14:textId="77777777" w:rsidTr="001028B4">
        <w:tc>
          <w:tcPr>
            <w:tcW w:w="9036" w:type="dxa"/>
            <w:gridSpan w:val="8"/>
            <w:shd w:val="clear" w:color="auto" w:fill="auto"/>
            <w:vAlign w:val="center"/>
            <w:hideMark/>
          </w:tcPr>
          <w:p w14:paraId="121CE23B" w14:textId="77777777" w:rsidR="00BD5588" w:rsidRPr="00DB5DCA" w:rsidRDefault="00BD5588" w:rsidP="00DB5DCA">
            <w:pPr>
              <w:jc w:val="center"/>
              <w:rPr>
                <w:b/>
                <w:bCs/>
                <w:sz w:val="28"/>
                <w:szCs w:val="28"/>
                <w:lang w:eastAsia="en-US"/>
              </w:rPr>
            </w:pPr>
            <w:r w:rsidRPr="00DB5DCA">
              <w:rPr>
                <w:b/>
                <w:bCs/>
                <w:sz w:val="28"/>
                <w:szCs w:val="28"/>
                <w:lang w:eastAsia="en-US"/>
              </w:rPr>
              <w:t>III. Tiesību akta projekta ietekme uz valsts budžetu un pašvaldību budžetiem</w:t>
            </w:r>
          </w:p>
        </w:tc>
      </w:tr>
      <w:tr w:rsidR="00BD5588" w:rsidRPr="00DB5DCA" w14:paraId="4C397F8F" w14:textId="77777777" w:rsidTr="001028B4">
        <w:tc>
          <w:tcPr>
            <w:tcW w:w="1859" w:type="dxa"/>
            <w:vMerge w:val="restart"/>
            <w:shd w:val="clear" w:color="auto" w:fill="FFFFFF"/>
            <w:vAlign w:val="center"/>
          </w:tcPr>
          <w:p w14:paraId="4F2B8320" w14:textId="77777777" w:rsidR="00BD5588" w:rsidRPr="00DB5DCA" w:rsidRDefault="00BD5588" w:rsidP="00DB5DCA">
            <w:pPr>
              <w:jc w:val="center"/>
              <w:rPr>
                <w:bCs/>
                <w:lang w:eastAsia="en-US"/>
              </w:rPr>
            </w:pPr>
            <w:r w:rsidRPr="00DB5DCA">
              <w:rPr>
                <w:bCs/>
                <w:lang w:eastAsia="en-US"/>
              </w:rPr>
              <w:t>Rādītāji</w:t>
            </w:r>
          </w:p>
        </w:tc>
        <w:tc>
          <w:tcPr>
            <w:tcW w:w="2252" w:type="dxa"/>
            <w:gridSpan w:val="2"/>
            <w:vMerge w:val="restart"/>
            <w:shd w:val="clear" w:color="auto" w:fill="FFFFFF"/>
            <w:vAlign w:val="center"/>
            <w:hideMark/>
          </w:tcPr>
          <w:p w14:paraId="53523DA9" w14:textId="0F5D761D" w:rsidR="00BD5588" w:rsidRPr="00DB5DCA" w:rsidRDefault="00C81773" w:rsidP="00E57D3D">
            <w:pPr>
              <w:jc w:val="center"/>
              <w:rPr>
                <w:bCs/>
                <w:lang w:eastAsia="en-US"/>
              </w:rPr>
            </w:pPr>
            <w:r>
              <w:rPr>
                <w:bCs/>
                <w:lang w:eastAsia="en-US"/>
              </w:rPr>
              <w:t>2020</w:t>
            </w:r>
            <w:r w:rsidR="002535F8" w:rsidRPr="00DB5DCA">
              <w:rPr>
                <w:bCs/>
                <w:lang w:eastAsia="en-US"/>
              </w:rPr>
              <w:t>.</w:t>
            </w:r>
            <w:r w:rsidR="00BD5588" w:rsidRPr="00DB5DCA">
              <w:rPr>
                <w:bCs/>
                <w:lang w:eastAsia="en-US"/>
              </w:rPr>
              <w:t>gads</w:t>
            </w:r>
          </w:p>
        </w:tc>
        <w:tc>
          <w:tcPr>
            <w:tcW w:w="4925" w:type="dxa"/>
            <w:gridSpan w:val="5"/>
            <w:shd w:val="clear" w:color="auto" w:fill="FFFFFF"/>
            <w:vAlign w:val="center"/>
            <w:hideMark/>
          </w:tcPr>
          <w:p w14:paraId="151470D6" w14:textId="77777777" w:rsidR="00BD5588" w:rsidRPr="00DB5DCA" w:rsidRDefault="00BD5588" w:rsidP="00DB5DCA">
            <w:pPr>
              <w:jc w:val="center"/>
              <w:rPr>
                <w:lang w:eastAsia="en-US"/>
              </w:rPr>
            </w:pPr>
            <w:r w:rsidRPr="00DB5DCA">
              <w:rPr>
                <w:lang w:eastAsia="en-US"/>
              </w:rPr>
              <w:t>Turpmākie trīs gadi (</w:t>
            </w:r>
            <w:proofErr w:type="spellStart"/>
            <w:r w:rsidRPr="00DB5DCA">
              <w:rPr>
                <w:i/>
                <w:iCs/>
                <w:lang w:eastAsia="en-US"/>
              </w:rPr>
              <w:t>euro</w:t>
            </w:r>
            <w:proofErr w:type="spellEnd"/>
            <w:r w:rsidRPr="00DB5DCA">
              <w:rPr>
                <w:lang w:eastAsia="en-US"/>
              </w:rPr>
              <w:t>)</w:t>
            </w:r>
          </w:p>
        </w:tc>
      </w:tr>
      <w:tr w:rsidR="00BD5588" w:rsidRPr="00DB5DCA" w14:paraId="2BF49008" w14:textId="77777777" w:rsidTr="001028B4">
        <w:tc>
          <w:tcPr>
            <w:tcW w:w="1859" w:type="dxa"/>
            <w:vMerge/>
            <w:shd w:val="clear" w:color="auto" w:fill="auto"/>
            <w:vAlign w:val="center"/>
            <w:hideMark/>
          </w:tcPr>
          <w:p w14:paraId="54DF652B" w14:textId="77777777" w:rsidR="00BD5588" w:rsidRPr="00DB5DCA" w:rsidRDefault="00BD5588" w:rsidP="00DB5DCA">
            <w:pPr>
              <w:jc w:val="center"/>
              <w:rPr>
                <w:bCs/>
                <w:lang w:eastAsia="en-US"/>
              </w:rPr>
            </w:pPr>
          </w:p>
        </w:tc>
        <w:tc>
          <w:tcPr>
            <w:tcW w:w="2252" w:type="dxa"/>
            <w:gridSpan w:val="2"/>
            <w:vMerge/>
            <w:shd w:val="clear" w:color="auto" w:fill="auto"/>
            <w:vAlign w:val="center"/>
            <w:hideMark/>
          </w:tcPr>
          <w:p w14:paraId="193902C2" w14:textId="77777777" w:rsidR="00BD5588" w:rsidRPr="00DB5DCA" w:rsidRDefault="00BD5588" w:rsidP="00DB5DCA">
            <w:pPr>
              <w:jc w:val="center"/>
              <w:rPr>
                <w:bCs/>
                <w:lang w:eastAsia="en-US"/>
              </w:rPr>
            </w:pPr>
          </w:p>
        </w:tc>
        <w:tc>
          <w:tcPr>
            <w:tcW w:w="1971" w:type="dxa"/>
            <w:gridSpan w:val="2"/>
            <w:shd w:val="clear" w:color="auto" w:fill="FFFFFF"/>
            <w:vAlign w:val="center"/>
            <w:hideMark/>
          </w:tcPr>
          <w:p w14:paraId="3B2B81AD" w14:textId="158E63D9" w:rsidR="00BD5588" w:rsidRPr="00DB5DCA" w:rsidRDefault="00E57D3D" w:rsidP="00E57D3D">
            <w:pPr>
              <w:jc w:val="center"/>
              <w:rPr>
                <w:bCs/>
                <w:lang w:eastAsia="en-US"/>
              </w:rPr>
            </w:pPr>
            <w:r w:rsidRPr="00DB5DCA">
              <w:rPr>
                <w:bCs/>
                <w:lang w:eastAsia="en-US"/>
              </w:rPr>
              <w:t>20</w:t>
            </w:r>
            <w:r w:rsidR="00C81773">
              <w:rPr>
                <w:bCs/>
                <w:lang w:eastAsia="en-US"/>
              </w:rPr>
              <w:t>21</w:t>
            </w:r>
            <w:r w:rsidR="008500E1" w:rsidRPr="00DB5DCA">
              <w:rPr>
                <w:bCs/>
                <w:lang w:eastAsia="en-US"/>
              </w:rPr>
              <w:t>.</w:t>
            </w:r>
          </w:p>
        </w:tc>
        <w:tc>
          <w:tcPr>
            <w:tcW w:w="1970" w:type="dxa"/>
            <w:gridSpan w:val="2"/>
            <w:shd w:val="clear" w:color="auto" w:fill="FFFFFF"/>
            <w:vAlign w:val="center"/>
            <w:hideMark/>
          </w:tcPr>
          <w:p w14:paraId="0F1AA257" w14:textId="19A1BC69" w:rsidR="00BD5588" w:rsidRPr="00DB5DCA" w:rsidRDefault="00E57D3D" w:rsidP="00E57D3D">
            <w:pPr>
              <w:jc w:val="center"/>
              <w:rPr>
                <w:bCs/>
                <w:lang w:eastAsia="en-US"/>
              </w:rPr>
            </w:pPr>
            <w:r w:rsidRPr="00DB5DCA">
              <w:rPr>
                <w:bCs/>
                <w:lang w:eastAsia="en-US"/>
              </w:rPr>
              <w:t>202</w:t>
            </w:r>
            <w:r w:rsidR="00C81773">
              <w:rPr>
                <w:bCs/>
                <w:lang w:eastAsia="en-US"/>
              </w:rPr>
              <w:t>2</w:t>
            </w:r>
            <w:r w:rsidR="008500E1" w:rsidRPr="00DB5DCA">
              <w:rPr>
                <w:bCs/>
                <w:lang w:eastAsia="en-US"/>
              </w:rPr>
              <w:t>.</w:t>
            </w:r>
          </w:p>
        </w:tc>
        <w:tc>
          <w:tcPr>
            <w:tcW w:w="984" w:type="dxa"/>
            <w:shd w:val="clear" w:color="auto" w:fill="FFFFFF"/>
            <w:vAlign w:val="center"/>
            <w:hideMark/>
          </w:tcPr>
          <w:p w14:paraId="0BD2AAF1" w14:textId="77DB5E85" w:rsidR="00BD5588" w:rsidRPr="00DB5DCA" w:rsidRDefault="00E57D3D" w:rsidP="00E57D3D">
            <w:pPr>
              <w:jc w:val="center"/>
              <w:rPr>
                <w:bCs/>
                <w:lang w:eastAsia="en-US"/>
              </w:rPr>
            </w:pPr>
            <w:r w:rsidRPr="00DB5DCA">
              <w:rPr>
                <w:bCs/>
                <w:lang w:eastAsia="en-US"/>
              </w:rPr>
              <w:t>202</w:t>
            </w:r>
            <w:r w:rsidR="00C81773">
              <w:rPr>
                <w:bCs/>
                <w:lang w:eastAsia="en-US"/>
              </w:rPr>
              <w:t>3</w:t>
            </w:r>
            <w:r w:rsidR="008500E1" w:rsidRPr="00DB5DCA">
              <w:rPr>
                <w:bCs/>
                <w:lang w:eastAsia="en-US"/>
              </w:rPr>
              <w:t>.</w:t>
            </w:r>
          </w:p>
        </w:tc>
      </w:tr>
      <w:tr w:rsidR="00BD5588" w:rsidRPr="00DB5DCA" w14:paraId="6DA3F47B" w14:textId="77777777" w:rsidTr="001028B4">
        <w:tc>
          <w:tcPr>
            <w:tcW w:w="1859" w:type="dxa"/>
            <w:vMerge/>
            <w:shd w:val="clear" w:color="auto" w:fill="auto"/>
            <w:vAlign w:val="center"/>
            <w:hideMark/>
          </w:tcPr>
          <w:p w14:paraId="60464A63" w14:textId="77777777" w:rsidR="00BD5588" w:rsidRPr="00DB5DCA" w:rsidRDefault="00BD5588" w:rsidP="00DB5DCA">
            <w:pPr>
              <w:jc w:val="center"/>
              <w:rPr>
                <w:b/>
                <w:bCs/>
                <w:lang w:eastAsia="en-US"/>
              </w:rPr>
            </w:pPr>
          </w:p>
        </w:tc>
        <w:tc>
          <w:tcPr>
            <w:tcW w:w="1126" w:type="dxa"/>
            <w:shd w:val="clear" w:color="auto" w:fill="FFFFFF"/>
            <w:vAlign w:val="center"/>
            <w:hideMark/>
          </w:tcPr>
          <w:p w14:paraId="03A09CBF" w14:textId="77777777" w:rsidR="00BD5588" w:rsidRPr="00DB5DCA" w:rsidRDefault="00BD5588" w:rsidP="00DB5DCA">
            <w:pPr>
              <w:jc w:val="center"/>
              <w:rPr>
                <w:lang w:eastAsia="en-US"/>
              </w:rPr>
            </w:pPr>
            <w:r w:rsidRPr="00DB5DCA">
              <w:rPr>
                <w:lang w:eastAsia="en-US"/>
              </w:rPr>
              <w:t>saskaņā ar valsts budžetu kārtējam gadam</w:t>
            </w:r>
          </w:p>
        </w:tc>
        <w:tc>
          <w:tcPr>
            <w:tcW w:w="1126" w:type="dxa"/>
            <w:shd w:val="clear" w:color="auto" w:fill="FFFFFF"/>
            <w:vAlign w:val="center"/>
            <w:hideMark/>
          </w:tcPr>
          <w:p w14:paraId="43AA0AA0" w14:textId="77777777" w:rsidR="00BD5588" w:rsidRPr="00DB5DCA" w:rsidRDefault="00BD5588" w:rsidP="00DB5DCA">
            <w:pPr>
              <w:jc w:val="center"/>
              <w:rPr>
                <w:lang w:eastAsia="en-US"/>
              </w:rPr>
            </w:pPr>
            <w:r w:rsidRPr="00DB5DCA">
              <w:rPr>
                <w:lang w:eastAsia="en-US"/>
              </w:rPr>
              <w:t>izmaiņas kārtējā gadā, salīdzinot ar valsts budžetu kārtējam gadam</w:t>
            </w:r>
          </w:p>
        </w:tc>
        <w:tc>
          <w:tcPr>
            <w:tcW w:w="984" w:type="dxa"/>
            <w:shd w:val="clear" w:color="auto" w:fill="FFFFFF"/>
            <w:vAlign w:val="center"/>
            <w:hideMark/>
          </w:tcPr>
          <w:p w14:paraId="6D6681A6" w14:textId="77777777" w:rsidR="00BD5588" w:rsidRPr="00DB5DCA" w:rsidRDefault="00BD5588" w:rsidP="00DB5DCA">
            <w:pPr>
              <w:jc w:val="center"/>
              <w:rPr>
                <w:lang w:eastAsia="en-US"/>
              </w:rPr>
            </w:pPr>
            <w:r w:rsidRPr="00DB5DCA">
              <w:rPr>
                <w:lang w:eastAsia="en-US"/>
              </w:rPr>
              <w:t>saskaņā ar vidēja termiņa budžeta ietvaru</w:t>
            </w:r>
          </w:p>
        </w:tc>
        <w:tc>
          <w:tcPr>
            <w:tcW w:w="987" w:type="dxa"/>
            <w:shd w:val="clear" w:color="auto" w:fill="FFFFFF"/>
            <w:vAlign w:val="center"/>
            <w:hideMark/>
          </w:tcPr>
          <w:p w14:paraId="1088C23B" w14:textId="77777777" w:rsidR="00BD5588" w:rsidRPr="00DB5DCA" w:rsidRDefault="00BD5588" w:rsidP="00DB5DCA">
            <w:pPr>
              <w:ind w:left="-44"/>
              <w:jc w:val="center"/>
              <w:rPr>
                <w:lang w:eastAsia="en-US"/>
              </w:rPr>
            </w:pPr>
            <w:r w:rsidRPr="00DB5DCA">
              <w:rPr>
                <w:lang w:eastAsia="en-US"/>
              </w:rPr>
              <w:t>izmaiņas, salīdzinot ar vidēja termiņa budžeta ietvaru n+1 gadam</w:t>
            </w:r>
          </w:p>
        </w:tc>
        <w:tc>
          <w:tcPr>
            <w:tcW w:w="985" w:type="dxa"/>
            <w:shd w:val="clear" w:color="auto" w:fill="FFFFFF"/>
            <w:vAlign w:val="center"/>
            <w:hideMark/>
          </w:tcPr>
          <w:p w14:paraId="69900DE6" w14:textId="77777777" w:rsidR="00BD5588" w:rsidRPr="00DB5DCA" w:rsidRDefault="00BD5588" w:rsidP="00DB5DCA">
            <w:pPr>
              <w:jc w:val="center"/>
              <w:rPr>
                <w:lang w:eastAsia="en-US"/>
              </w:rPr>
            </w:pPr>
            <w:r w:rsidRPr="00DB5DCA">
              <w:rPr>
                <w:lang w:eastAsia="en-US"/>
              </w:rPr>
              <w:t>saskaņā ar vidēja termiņa budžeta ietvaru</w:t>
            </w:r>
          </w:p>
        </w:tc>
        <w:tc>
          <w:tcPr>
            <w:tcW w:w="985" w:type="dxa"/>
            <w:shd w:val="clear" w:color="auto" w:fill="FFFFFF"/>
            <w:vAlign w:val="center"/>
            <w:hideMark/>
          </w:tcPr>
          <w:p w14:paraId="567220CC" w14:textId="77777777" w:rsidR="00BD5588" w:rsidRPr="00DB5DCA" w:rsidRDefault="00BD5588" w:rsidP="00DB5DCA">
            <w:pPr>
              <w:jc w:val="center"/>
              <w:rPr>
                <w:lang w:eastAsia="en-US"/>
              </w:rPr>
            </w:pPr>
            <w:r w:rsidRPr="00DB5DCA">
              <w:rPr>
                <w:lang w:eastAsia="en-US"/>
              </w:rPr>
              <w:t>izmaiņas, salīdzinot ar vidēja termiņa budžeta ietvaru n+2 gadam</w:t>
            </w:r>
          </w:p>
        </w:tc>
        <w:tc>
          <w:tcPr>
            <w:tcW w:w="984" w:type="dxa"/>
            <w:shd w:val="clear" w:color="auto" w:fill="FFFFFF"/>
            <w:vAlign w:val="center"/>
            <w:hideMark/>
          </w:tcPr>
          <w:p w14:paraId="73610FB1" w14:textId="77777777" w:rsidR="00BD5588" w:rsidRPr="00DB5DCA" w:rsidRDefault="00BD5588" w:rsidP="00DB5DCA">
            <w:pPr>
              <w:jc w:val="center"/>
              <w:rPr>
                <w:lang w:eastAsia="en-US"/>
              </w:rPr>
            </w:pPr>
            <w:r w:rsidRPr="00DB5DCA">
              <w:rPr>
                <w:lang w:eastAsia="en-US"/>
              </w:rPr>
              <w:t xml:space="preserve">izmaiņas, salīdzinot ar vidēja termiņa budžeta ietvaru </w:t>
            </w:r>
            <w:r w:rsidRPr="00DB5DCA">
              <w:rPr>
                <w:lang w:eastAsia="en-US"/>
              </w:rPr>
              <w:br/>
              <w:t>n+2 gadam</w:t>
            </w:r>
          </w:p>
        </w:tc>
      </w:tr>
      <w:tr w:rsidR="00BD5588" w:rsidRPr="00DB5DCA" w14:paraId="0E27E9D0" w14:textId="77777777" w:rsidTr="001028B4">
        <w:tc>
          <w:tcPr>
            <w:tcW w:w="1859" w:type="dxa"/>
            <w:shd w:val="clear" w:color="auto" w:fill="FFFFFF"/>
            <w:vAlign w:val="center"/>
            <w:hideMark/>
          </w:tcPr>
          <w:p w14:paraId="45E70433" w14:textId="77777777" w:rsidR="00BD5588" w:rsidRPr="00DB5DCA" w:rsidRDefault="00BD5588" w:rsidP="00DB5DCA">
            <w:pPr>
              <w:jc w:val="center"/>
              <w:rPr>
                <w:lang w:eastAsia="en-US"/>
              </w:rPr>
            </w:pPr>
            <w:r w:rsidRPr="00DB5DCA">
              <w:rPr>
                <w:lang w:eastAsia="en-US"/>
              </w:rPr>
              <w:t>1</w:t>
            </w:r>
          </w:p>
        </w:tc>
        <w:tc>
          <w:tcPr>
            <w:tcW w:w="1126" w:type="dxa"/>
            <w:shd w:val="clear" w:color="auto" w:fill="FFFFFF"/>
            <w:vAlign w:val="center"/>
            <w:hideMark/>
          </w:tcPr>
          <w:p w14:paraId="4A98F98F" w14:textId="77777777" w:rsidR="00BD5588" w:rsidRPr="00DB5DCA" w:rsidRDefault="00BD5588" w:rsidP="00DB5DCA">
            <w:pPr>
              <w:jc w:val="center"/>
              <w:rPr>
                <w:lang w:eastAsia="en-US"/>
              </w:rPr>
            </w:pPr>
            <w:r w:rsidRPr="00DB5DCA">
              <w:rPr>
                <w:lang w:eastAsia="en-US"/>
              </w:rPr>
              <w:t>2</w:t>
            </w:r>
          </w:p>
        </w:tc>
        <w:tc>
          <w:tcPr>
            <w:tcW w:w="1126" w:type="dxa"/>
            <w:shd w:val="clear" w:color="auto" w:fill="FFFFFF"/>
            <w:vAlign w:val="center"/>
            <w:hideMark/>
          </w:tcPr>
          <w:p w14:paraId="69AAC567" w14:textId="77777777" w:rsidR="00BD5588" w:rsidRPr="00DB5DCA" w:rsidRDefault="00BD5588" w:rsidP="00DB5DCA">
            <w:pPr>
              <w:jc w:val="center"/>
              <w:rPr>
                <w:lang w:eastAsia="en-US"/>
              </w:rPr>
            </w:pPr>
            <w:r w:rsidRPr="00DB5DCA">
              <w:rPr>
                <w:lang w:eastAsia="en-US"/>
              </w:rPr>
              <w:t>3</w:t>
            </w:r>
          </w:p>
        </w:tc>
        <w:tc>
          <w:tcPr>
            <w:tcW w:w="984" w:type="dxa"/>
            <w:shd w:val="clear" w:color="auto" w:fill="FFFFFF"/>
            <w:vAlign w:val="center"/>
            <w:hideMark/>
          </w:tcPr>
          <w:p w14:paraId="5763F42E" w14:textId="77777777" w:rsidR="00BD5588" w:rsidRPr="00DB5DCA" w:rsidRDefault="00BD5588" w:rsidP="00DB5DCA">
            <w:pPr>
              <w:jc w:val="center"/>
              <w:rPr>
                <w:lang w:eastAsia="en-US"/>
              </w:rPr>
            </w:pPr>
            <w:r w:rsidRPr="00DB5DCA">
              <w:rPr>
                <w:lang w:eastAsia="en-US"/>
              </w:rPr>
              <w:t>4</w:t>
            </w:r>
          </w:p>
        </w:tc>
        <w:tc>
          <w:tcPr>
            <w:tcW w:w="987" w:type="dxa"/>
            <w:shd w:val="clear" w:color="auto" w:fill="FFFFFF"/>
            <w:vAlign w:val="center"/>
            <w:hideMark/>
          </w:tcPr>
          <w:p w14:paraId="309B7AE7" w14:textId="77777777" w:rsidR="00BD5588" w:rsidRPr="00DB5DCA" w:rsidRDefault="00BD5588" w:rsidP="00DB5DCA">
            <w:pPr>
              <w:jc w:val="center"/>
              <w:rPr>
                <w:lang w:eastAsia="en-US"/>
              </w:rPr>
            </w:pPr>
            <w:r w:rsidRPr="00DB5DCA">
              <w:rPr>
                <w:lang w:eastAsia="en-US"/>
              </w:rPr>
              <w:t>5</w:t>
            </w:r>
          </w:p>
        </w:tc>
        <w:tc>
          <w:tcPr>
            <w:tcW w:w="985" w:type="dxa"/>
            <w:shd w:val="clear" w:color="auto" w:fill="FFFFFF"/>
            <w:vAlign w:val="center"/>
            <w:hideMark/>
          </w:tcPr>
          <w:p w14:paraId="57C6C2DD" w14:textId="77777777" w:rsidR="00BD5588" w:rsidRPr="00DB5DCA" w:rsidRDefault="00BD5588" w:rsidP="00DB5DCA">
            <w:pPr>
              <w:jc w:val="center"/>
              <w:rPr>
                <w:lang w:eastAsia="en-US"/>
              </w:rPr>
            </w:pPr>
            <w:r w:rsidRPr="00DB5DCA">
              <w:rPr>
                <w:lang w:eastAsia="en-US"/>
              </w:rPr>
              <w:t>6</w:t>
            </w:r>
          </w:p>
        </w:tc>
        <w:tc>
          <w:tcPr>
            <w:tcW w:w="985" w:type="dxa"/>
            <w:shd w:val="clear" w:color="auto" w:fill="FFFFFF"/>
            <w:vAlign w:val="center"/>
            <w:hideMark/>
          </w:tcPr>
          <w:p w14:paraId="7F2E750B" w14:textId="77777777" w:rsidR="00BD5588" w:rsidRPr="00DB5DCA" w:rsidRDefault="00BD5588" w:rsidP="00DB5DCA">
            <w:pPr>
              <w:jc w:val="center"/>
              <w:rPr>
                <w:lang w:eastAsia="en-US"/>
              </w:rPr>
            </w:pPr>
            <w:r w:rsidRPr="00DB5DCA">
              <w:rPr>
                <w:lang w:eastAsia="en-US"/>
              </w:rPr>
              <w:t>7</w:t>
            </w:r>
          </w:p>
        </w:tc>
        <w:tc>
          <w:tcPr>
            <w:tcW w:w="984" w:type="dxa"/>
            <w:shd w:val="clear" w:color="auto" w:fill="FFFFFF"/>
            <w:vAlign w:val="center"/>
            <w:hideMark/>
          </w:tcPr>
          <w:p w14:paraId="344D2241" w14:textId="77777777" w:rsidR="00BD5588" w:rsidRPr="00DB5DCA" w:rsidRDefault="00BD5588" w:rsidP="00DB5DCA">
            <w:pPr>
              <w:jc w:val="center"/>
              <w:rPr>
                <w:lang w:eastAsia="en-US"/>
              </w:rPr>
            </w:pPr>
            <w:r w:rsidRPr="00DB5DCA">
              <w:rPr>
                <w:lang w:eastAsia="en-US"/>
              </w:rPr>
              <w:t>8</w:t>
            </w:r>
          </w:p>
        </w:tc>
      </w:tr>
      <w:tr w:rsidR="0002581D" w:rsidRPr="00DB5DCA" w14:paraId="57057931" w14:textId="77777777" w:rsidTr="001028B4">
        <w:tc>
          <w:tcPr>
            <w:tcW w:w="1859" w:type="dxa"/>
            <w:shd w:val="clear" w:color="auto" w:fill="FFFFFF"/>
            <w:hideMark/>
          </w:tcPr>
          <w:p w14:paraId="2C418E01" w14:textId="77777777" w:rsidR="0002581D" w:rsidRPr="00DB5DCA" w:rsidRDefault="0002581D" w:rsidP="00DB5DCA">
            <w:pPr>
              <w:rPr>
                <w:lang w:eastAsia="en-US"/>
              </w:rPr>
            </w:pPr>
            <w:r w:rsidRPr="00DB5DCA">
              <w:rPr>
                <w:lang w:eastAsia="en-US"/>
              </w:rPr>
              <w:t>1. Budžeta ieņēmumi</w:t>
            </w:r>
          </w:p>
        </w:tc>
        <w:tc>
          <w:tcPr>
            <w:tcW w:w="1126" w:type="dxa"/>
            <w:shd w:val="clear" w:color="auto" w:fill="FFFFFF"/>
            <w:vAlign w:val="center"/>
            <w:hideMark/>
          </w:tcPr>
          <w:p w14:paraId="69F1941A" w14:textId="77777777" w:rsidR="0002581D" w:rsidRPr="00DB5DCA" w:rsidRDefault="00617602" w:rsidP="009477D9">
            <w:pPr>
              <w:jc w:val="center"/>
              <w:rPr>
                <w:lang w:eastAsia="en-US"/>
              </w:rPr>
            </w:pPr>
            <w:r>
              <w:rPr>
                <w:lang w:eastAsia="en-US"/>
              </w:rPr>
              <w:t>0</w:t>
            </w:r>
          </w:p>
        </w:tc>
        <w:tc>
          <w:tcPr>
            <w:tcW w:w="1126" w:type="dxa"/>
            <w:shd w:val="clear" w:color="auto" w:fill="FFFFFF"/>
            <w:vAlign w:val="center"/>
            <w:hideMark/>
          </w:tcPr>
          <w:p w14:paraId="73CB9E2E" w14:textId="56294A2F" w:rsidR="0002581D" w:rsidRPr="00DB5DCA" w:rsidRDefault="00075A16" w:rsidP="009477D9">
            <w:pPr>
              <w:jc w:val="center"/>
              <w:rPr>
                <w:lang w:eastAsia="en-US"/>
              </w:rPr>
            </w:pPr>
            <w:r>
              <w:rPr>
                <w:lang w:eastAsia="en-US"/>
              </w:rPr>
              <w:t>+36</w:t>
            </w:r>
          </w:p>
        </w:tc>
        <w:tc>
          <w:tcPr>
            <w:tcW w:w="984" w:type="dxa"/>
            <w:shd w:val="clear" w:color="auto" w:fill="FFFFFF"/>
            <w:vAlign w:val="center"/>
            <w:hideMark/>
          </w:tcPr>
          <w:p w14:paraId="65804AC3" w14:textId="1EFD18D1" w:rsidR="0002581D" w:rsidRPr="00A02093" w:rsidRDefault="00196872" w:rsidP="005D3EE4">
            <w:pPr>
              <w:jc w:val="center"/>
              <w:rPr>
                <w:lang w:eastAsia="en-US"/>
              </w:rPr>
            </w:pPr>
            <w:r>
              <w:rPr>
                <w:lang w:eastAsia="en-US"/>
              </w:rPr>
              <w:t>0</w:t>
            </w:r>
          </w:p>
        </w:tc>
        <w:tc>
          <w:tcPr>
            <w:tcW w:w="987" w:type="dxa"/>
            <w:shd w:val="clear" w:color="auto" w:fill="FFFFFF"/>
            <w:vAlign w:val="center"/>
            <w:hideMark/>
          </w:tcPr>
          <w:p w14:paraId="05C10504" w14:textId="45B362CD" w:rsidR="0002581D" w:rsidRPr="00A02093" w:rsidRDefault="00075A16" w:rsidP="009477D9">
            <w:pPr>
              <w:jc w:val="center"/>
              <w:rPr>
                <w:lang w:eastAsia="en-US"/>
              </w:rPr>
            </w:pPr>
            <w:r>
              <w:rPr>
                <w:lang w:eastAsia="en-US"/>
              </w:rPr>
              <w:t>+36</w:t>
            </w:r>
          </w:p>
        </w:tc>
        <w:tc>
          <w:tcPr>
            <w:tcW w:w="985" w:type="dxa"/>
            <w:shd w:val="clear" w:color="auto" w:fill="FFFFFF"/>
            <w:vAlign w:val="center"/>
            <w:hideMark/>
          </w:tcPr>
          <w:p w14:paraId="58EA2CB0" w14:textId="1CE5ABF6" w:rsidR="0002581D" w:rsidRPr="00A02093" w:rsidRDefault="00196872" w:rsidP="009477D9">
            <w:pPr>
              <w:jc w:val="center"/>
              <w:rPr>
                <w:lang w:eastAsia="en-US"/>
              </w:rPr>
            </w:pPr>
            <w:r>
              <w:rPr>
                <w:lang w:eastAsia="en-US"/>
              </w:rPr>
              <w:t>0</w:t>
            </w:r>
          </w:p>
        </w:tc>
        <w:tc>
          <w:tcPr>
            <w:tcW w:w="985" w:type="dxa"/>
            <w:shd w:val="clear" w:color="auto" w:fill="FFFFFF"/>
            <w:vAlign w:val="center"/>
            <w:hideMark/>
          </w:tcPr>
          <w:p w14:paraId="2AC14BA8" w14:textId="2FC74133" w:rsidR="0002581D" w:rsidRPr="00A02093" w:rsidRDefault="00075A16" w:rsidP="009477D9">
            <w:pPr>
              <w:jc w:val="center"/>
              <w:rPr>
                <w:lang w:eastAsia="en-US"/>
              </w:rPr>
            </w:pPr>
            <w:r>
              <w:rPr>
                <w:lang w:eastAsia="en-US"/>
              </w:rPr>
              <w:t>+36</w:t>
            </w:r>
          </w:p>
        </w:tc>
        <w:tc>
          <w:tcPr>
            <w:tcW w:w="984" w:type="dxa"/>
            <w:shd w:val="clear" w:color="auto" w:fill="FFFFFF"/>
            <w:vAlign w:val="center"/>
            <w:hideMark/>
          </w:tcPr>
          <w:p w14:paraId="54803F33" w14:textId="1C28E07F" w:rsidR="0002581D" w:rsidRPr="00A02093" w:rsidRDefault="00075A16" w:rsidP="00196872">
            <w:pPr>
              <w:jc w:val="center"/>
              <w:rPr>
                <w:lang w:eastAsia="en-US"/>
              </w:rPr>
            </w:pPr>
            <w:r>
              <w:rPr>
                <w:lang w:eastAsia="en-US"/>
              </w:rPr>
              <w:t>+36</w:t>
            </w:r>
          </w:p>
        </w:tc>
      </w:tr>
      <w:tr w:rsidR="00BD5588" w:rsidRPr="00DB5DCA" w14:paraId="12C465FF" w14:textId="77777777" w:rsidTr="001028B4">
        <w:tc>
          <w:tcPr>
            <w:tcW w:w="1859" w:type="dxa"/>
            <w:shd w:val="clear" w:color="auto" w:fill="auto"/>
            <w:hideMark/>
          </w:tcPr>
          <w:p w14:paraId="08073BB3" w14:textId="77777777" w:rsidR="00BD5588" w:rsidRPr="00DB5DCA" w:rsidRDefault="00BD5588" w:rsidP="00DB5DCA">
            <w:pPr>
              <w:rPr>
                <w:lang w:eastAsia="en-US"/>
              </w:rPr>
            </w:pPr>
            <w:r w:rsidRPr="00DB5DCA">
              <w:rPr>
                <w:lang w:eastAsia="en-US"/>
              </w:rPr>
              <w:t>1.1. valsts pamatbudžets, tai skaitā ieņēmumi no maksas pakalpojumiem un citi pašu ieņēmumi</w:t>
            </w:r>
          </w:p>
        </w:tc>
        <w:tc>
          <w:tcPr>
            <w:tcW w:w="1126" w:type="dxa"/>
            <w:shd w:val="clear" w:color="auto" w:fill="auto"/>
            <w:vAlign w:val="center"/>
            <w:hideMark/>
          </w:tcPr>
          <w:p w14:paraId="1889EEEA" w14:textId="77777777" w:rsidR="00BD5588" w:rsidRPr="00DB5DCA" w:rsidRDefault="00617602" w:rsidP="00DB5DCA">
            <w:pPr>
              <w:jc w:val="center"/>
              <w:rPr>
                <w:lang w:eastAsia="en-US"/>
              </w:rPr>
            </w:pPr>
            <w:r>
              <w:rPr>
                <w:lang w:eastAsia="en-US"/>
              </w:rPr>
              <w:t>0</w:t>
            </w:r>
          </w:p>
        </w:tc>
        <w:tc>
          <w:tcPr>
            <w:tcW w:w="1126" w:type="dxa"/>
            <w:shd w:val="clear" w:color="auto" w:fill="auto"/>
            <w:vAlign w:val="center"/>
            <w:hideMark/>
          </w:tcPr>
          <w:p w14:paraId="7E9F32EA" w14:textId="3F823755" w:rsidR="00BD5588" w:rsidRPr="00DB5DCA" w:rsidRDefault="00075A16" w:rsidP="00DB5DCA">
            <w:pPr>
              <w:jc w:val="center"/>
              <w:rPr>
                <w:lang w:eastAsia="en-US"/>
              </w:rPr>
            </w:pPr>
            <w:r>
              <w:rPr>
                <w:lang w:eastAsia="en-US"/>
              </w:rPr>
              <w:t>+36</w:t>
            </w:r>
          </w:p>
        </w:tc>
        <w:tc>
          <w:tcPr>
            <w:tcW w:w="984" w:type="dxa"/>
            <w:shd w:val="clear" w:color="auto" w:fill="auto"/>
            <w:vAlign w:val="center"/>
            <w:hideMark/>
          </w:tcPr>
          <w:p w14:paraId="3C7125C8" w14:textId="3747CA82" w:rsidR="00BD5588" w:rsidRPr="00A02093" w:rsidRDefault="008A144B" w:rsidP="00DB5DCA">
            <w:pPr>
              <w:jc w:val="center"/>
              <w:rPr>
                <w:lang w:eastAsia="en-US"/>
              </w:rPr>
            </w:pPr>
            <w:r>
              <w:rPr>
                <w:lang w:eastAsia="en-US"/>
              </w:rPr>
              <w:t>0</w:t>
            </w:r>
          </w:p>
        </w:tc>
        <w:tc>
          <w:tcPr>
            <w:tcW w:w="987" w:type="dxa"/>
            <w:shd w:val="clear" w:color="auto" w:fill="auto"/>
            <w:vAlign w:val="center"/>
            <w:hideMark/>
          </w:tcPr>
          <w:p w14:paraId="5BC33D5A" w14:textId="38E78971" w:rsidR="00BD5588" w:rsidRPr="00A02093" w:rsidRDefault="00075A16" w:rsidP="00695CA1">
            <w:pPr>
              <w:jc w:val="center"/>
              <w:rPr>
                <w:lang w:eastAsia="en-US"/>
              </w:rPr>
            </w:pPr>
            <w:r>
              <w:rPr>
                <w:lang w:eastAsia="en-US"/>
              </w:rPr>
              <w:t>+36</w:t>
            </w:r>
          </w:p>
        </w:tc>
        <w:tc>
          <w:tcPr>
            <w:tcW w:w="985" w:type="dxa"/>
            <w:shd w:val="clear" w:color="auto" w:fill="auto"/>
            <w:vAlign w:val="center"/>
            <w:hideMark/>
          </w:tcPr>
          <w:p w14:paraId="6C157B69" w14:textId="5D035A57" w:rsidR="00BD5588" w:rsidRPr="00A02093" w:rsidRDefault="008A144B" w:rsidP="00DB5DCA">
            <w:pPr>
              <w:jc w:val="center"/>
              <w:rPr>
                <w:lang w:eastAsia="en-US"/>
              </w:rPr>
            </w:pPr>
            <w:r>
              <w:rPr>
                <w:lang w:eastAsia="en-US"/>
              </w:rPr>
              <w:t>0</w:t>
            </w:r>
          </w:p>
        </w:tc>
        <w:tc>
          <w:tcPr>
            <w:tcW w:w="985" w:type="dxa"/>
            <w:shd w:val="clear" w:color="auto" w:fill="auto"/>
            <w:vAlign w:val="center"/>
            <w:hideMark/>
          </w:tcPr>
          <w:p w14:paraId="0F2C638F" w14:textId="19E3747F" w:rsidR="00BD5588" w:rsidRPr="00A02093" w:rsidRDefault="00075A16" w:rsidP="00DB5DCA">
            <w:pPr>
              <w:jc w:val="center"/>
              <w:rPr>
                <w:lang w:eastAsia="en-US"/>
              </w:rPr>
            </w:pPr>
            <w:r>
              <w:rPr>
                <w:lang w:eastAsia="en-US"/>
              </w:rPr>
              <w:t>+36</w:t>
            </w:r>
          </w:p>
        </w:tc>
        <w:tc>
          <w:tcPr>
            <w:tcW w:w="984" w:type="dxa"/>
            <w:shd w:val="clear" w:color="auto" w:fill="auto"/>
            <w:vAlign w:val="center"/>
            <w:hideMark/>
          </w:tcPr>
          <w:p w14:paraId="34F41488" w14:textId="178009B5" w:rsidR="00BD5588" w:rsidRPr="00A02093" w:rsidRDefault="00075A16" w:rsidP="00AF793C">
            <w:pPr>
              <w:jc w:val="center"/>
              <w:rPr>
                <w:lang w:eastAsia="en-US"/>
              </w:rPr>
            </w:pPr>
            <w:r>
              <w:rPr>
                <w:lang w:eastAsia="en-US"/>
              </w:rPr>
              <w:t>+36</w:t>
            </w:r>
          </w:p>
        </w:tc>
      </w:tr>
      <w:tr w:rsidR="00BD5588" w:rsidRPr="00DB5DCA" w14:paraId="3D3D922C" w14:textId="77777777" w:rsidTr="001028B4">
        <w:tc>
          <w:tcPr>
            <w:tcW w:w="1859" w:type="dxa"/>
            <w:shd w:val="clear" w:color="auto" w:fill="auto"/>
            <w:hideMark/>
          </w:tcPr>
          <w:p w14:paraId="1389B125" w14:textId="77777777" w:rsidR="00BD5588" w:rsidRPr="00DB5DCA" w:rsidRDefault="00BD5588" w:rsidP="00DB5DCA">
            <w:pPr>
              <w:rPr>
                <w:lang w:eastAsia="en-US"/>
              </w:rPr>
            </w:pPr>
            <w:r w:rsidRPr="00DB5DCA">
              <w:rPr>
                <w:lang w:eastAsia="en-US"/>
              </w:rPr>
              <w:t>1.2. valsts speciālais budžets</w:t>
            </w:r>
          </w:p>
        </w:tc>
        <w:tc>
          <w:tcPr>
            <w:tcW w:w="1126" w:type="dxa"/>
            <w:shd w:val="clear" w:color="auto" w:fill="auto"/>
            <w:vAlign w:val="center"/>
            <w:hideMark/>
          </w:tcPr>
          <w:p w14:paraId="245D9330" w14:textId="77777777" w:rsidR="00BD5588" w:rsidRPr="00DB5DCA" w:rsidRDefault="008B77AA" w:rsidP="00DB5DCA">
            <w:pPr>
              <w:jc w:val="center"/>
              <w:rPr>
                <w:lang w:eastAsia="en-US"/>
              </w:rPr>
            </w:pPr>
            <w:r w:rsidRPr="00DB5DCA">
              <w:rPr>
                <w:lang w:eastAsia="en-US"/>
              </w:rPr>
              <w:t>0</w:t>
            </w:r>
          </w:p>
        </w:tc>
        <w:tc>
          <w:tcPr>
            <w:tcW w:w="1126" w:type="dxa"/>
            <w:shd w:val="clear" w:color="auto" w:fill="auto"/>
            <w:vAlign w:val="center"/>
            <w:hideMark/>
          </w:tcPr>
          <w:p w14:paraId="34E45B80"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379706C8" w14:textId="77777777" w:rsidR="00BD5588" w:rsidRPr="00A02093" w:rsidRDefault="008B77AA" w:rsidP="00DB5DCA">
            <w:pPr>
              <w:jc w:val="center"/>
              <w:rPr>
                <w:lang w:eastAsia="en-US"/>
              </w:rPr>
            </w:pPr>
            <w:r w:rsidRPr="00A02093">
              <w:rPr>
                <w:lang w:eastAsia="en-US"/>
              </w:rPr>
              <w:t>0</w:t>
            </w:r>
          </w:p>
        </w:tc>
        <w:tc>
          <w:tcPr>
            <w:tcW w:w="987" w:type="dxa"/>
            <w:shd w:val="clear" w:color="auto" w:fill="auto"/>
            <w:vAlign w:val="center"/>
            <w:hideMark/>
          </w:tcPr>
          <w:p w14:paraId="37EBF2DC" w14:textId="77777777" w:rsidR="00BD5588" w:rsidRPr="00A02093" w:rsidRDefault="008B77AA" w:rsidP="00DB5DCA">
            <w:pPr>
              <w:jc w:val="center"/>
              <w:rPr>
                <w:lang w:eastAsia="en-US"/>
              </w:rPr>
            </w:pPr>
            <w:r w:rsidRPr="00A02093">
              <w:rPr>
                <w:lang w:eastAsia="en-US"/>
              </w:rPr>
              <w:t>0</w:t>
            </w:r>
          </w:p>
        </w:tc>
        <w:tc>
          <w:tcPr>
            <w:tcW w:w="985" w:type="dxa"/>
            <w:shd w:val="clear" w:color="auto" w:fill="auto"/>
            <w:vAlign w:val="center"/>
            <w:hideMark/>
          </w:tcPr>
          <w:p w14:paraId="71D0B158" w14:textId="77777777" w:rsidR="00BD5588" w:rsidRPr="00A02093" w:rsidRDefault="008B77AA" w:rsidP="00DB5DCA">
            <w:pPr>
              <w:jc w:val="center"/>
              <w:rPr>
                <w:lang w:eastAsia="en-US"/>
              </w:rPr>
            </w:pPr>
            <w:r w:rsidRPr="00A02093">
              <w:rPr>
                <w:lang w:eastAsia="en-US"/>
              </w:rPr>
              <w:t>0</w:t>
            </w:r>
          </w:p>
        </w:tc>
        <w:tc>
          <w:tcPr>
            <w:tcW w:w="985" w:type="dxa"/>
            <w:shd w:val="clear" w:color="auto" w:fill="auto"/>
            <w:vAlign w:val="center"/>
            <w:hideMark/>
          </w:tcPr>
          <w:p w14:paraId="6E306B7C" w14:textId="77777777" w:rsidR="00BD5588" w:rsidRPr="00A02093" w:rsidRDefault="008B77AA" w:rsidP="00DB5DCA">
            <w:pPr>
              <w:jc w:val="center"/>
              <w:rPr>
                <w:lang w:eastAsia="en-US"/>
              </w:rPr>
            </w:pPr>
            <w:r w:rsidRPr="00A02093">
              <w:rPr>
                <w:lang w:eastAsia="en-US"/>
              </w:rPr>
              <w:t>0</w:t>
            </w:r>
          </w:p>
        </w:tc>
        <w:tc>
          <w:tcPr>
            <w:tcW w:w="984" w:type="dxa"/>
            <w:shd w:val="clear" w:color="auto" w:fill="auto"/>
            <w:vAlign w:val="center"/>
            <w:hideMark/>
          </w:tcPr>
          <w:p w14:paraId="52987140" w14:textId="77777777" w:rsidR="00BD5588" w:rsidRPr="00A02093" w:rsidRDefault="008B77AA" w:rsidP="00DB5DCA">
            <w:pPr>
              <w:jc w:val="center"/>
              <w:rPr>
                <w:lang w:eastAsia="en-US"/>
              </w:rPr>
            </w:pPr>
            <w:r w:rsidRPr="00A02093">
              <w:rPr>
                <w:lang w:eastAsia="en-US"/>
              </w:rPr>
              <w:t>0</w:t>
            </w:r>
          </w:p>
        </w:tc>
      </w:tr>
      <w:tr w:rsidR="00BD5588" w:rsidRPr="00DB5DCA" w14:paraId="14FB3141" w14:textId="77777777" w:rsidTr="001028B4">
        <w:tc>
          <w:tcPr>
            <w:tcW w:w="1859" w:type="dxa"/>
            <w:shd w:val="clear" w:color="auto" w:fill="auto"/>
            <w:hideMark/>
          </w:tcPr>
          <w:p w14:paraId="7E1D675D" w14:textId="77777777" w:rsidR="00BD5588" w:rsidRPr="00DB5DCA" w:rsidRDefault="00BD5588" w:rsidP="00DB5DCA">
            <w:pPr>
              <w:rPr>
                <w:lang w:eastAsia="en-US"/>
              </w:rPr>
            </w:pPr>
            <w:r w:rsidRPr="00DB5DCA">
              <w:rPr>
                <w:lang w:eastAsia="en-US"/>
              </w:rPr>
              <w:t>1.3. pašvaldību budžets</w:t>
            </w:r>
          </w:p>
        </w:tc>
        <w:tc>
          <w:tcPr>
            <w:tcW w:w="1126" w:type="dxa"/>
            <w:shd w:val="clear" w:color="auto" w:fill="auto"/>
            <w:vAlign w:val="center"/>
            <w:hideMark/>
          </w:tcPr>
          <w:p w14:paraId="491362A1" w14:textId="77777777" w:rsidR="00BD5588" w:rsidRPr="00DB5DCA" w:rsidRDefault="008B77AA" w:rsidP="00DB5DCA">
            <w:pPr>
              <w:jc w:val="center"/>
              <w:rPr>
                <w:lang w:eastAsia="en-US"/>
              </w:rPr>
            </w:pPr>
            <w:r w:rsidRPr="00DB5DCA">
              <w:rPr>
                <w:lang w:eastAsia="en-US"/>
              </w:rPr>
              <w:t>0</w:t>
            </w:r>
          </w:p>
        </w:tc>
        <w:tc>
          <w:tcPr>
            <w:tcW w:w="1126" w:type="dxa"/>
            <w:shd w:val="clear" w:color="auto" w:fill="auto"/>
            <w:vAlign w:val="center"/>
            <w:hideMark/>
          </w:tcPr>
          <w:p w14:paraId="07BBA078"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4407D73D" w14:textId="77777777" w:rsidR="00BD5588" w:rsidRPr="00A02093" w:rsidRDefault="008B77AA" w:rsidP="00DB5DCA">
            <w:pPr>
              <w:jc w:val="center"/>
              <w:rPr>
                <w:lang w:eastAsia="en-US"/>
              </w:rPr>
            </w:pPr>
            <w:r w:rsidRPr="00A02093">
              <w:rPr>
                <w:lang w:eastAsia="en-US"/>
              </w:rPr>
              <w:t>0</w:t>
            </w:r>
          </w:p>
        </w:tc>
        <w:tc>
          <w:tcPr>
            <w:tcW w:w="987" w:type="dxa"/>
            <w:shd w:val="clear" w:color="auto" w:fill="auto"/>
            <w:vAlign w:val="center"/>
            <w:hideMark/>
          </w:tcPr>
          <w:p w14:paraId="7BD9091C" w14:textId="77777777" w:rsidR="00BD5588" w:rsidRPr="00A02093" w:rsidRDefault="008B77AA" w:rsidP="00DB5DCA">
            <w:pPr>
              <w:jc w:val="center"/>
              <w:rPr>
                <w:lang w:eastAsia="en-US"/>
              </w:rPr>
            </w:pPr>
            <w:r w:rsidRPr="00A02093">
              <w:rPr>
                <w:lang w:eastAsia="en-US"/>
              </w:rPr>
              <w:t>0</w:t>
            </w:r>
          </w:p>
        </w:tc>
        <w:tc>
          <w:tcPr>
            <w:tcW w:w="985" w:type="dxa"/>
            <w:shd w:val="clear" w:color="auto" w:fill="auto"/>
            <w:vAlign w:val="center"/>
            <w:hideMark/>
          </w:tcPr>
          <w:p w14:paraId="503F8217" w14:textId="77777777" w:rsidR="00BD5588" w:rsidRPr="00A02093" w:rsidRDefault="008B77AA" w:rsidP="00DB5DCA">
            <w:pPr>
              <w:jc w:val="center"/>
              <w:rPr>
                <w:lang w:eastAsia="en-US"/>
              </w:rPr>
            </w:pPr>
            <w:r w:rsidRPr="00A02093">
              <w:rPr>
                <w:lang w:eastAsia="en-US"/>
              </w:rPr>
              <w:t>0</w:t>
            </w:r>
          </w:p>
        </w:tc>
        <w:tc>
          <w:tcPr>
            <w:tcW w:w="985" w:type="dxa"/>
            <w:shd w:val="clear" w:color="auto" w:fill="auto"/>
            <w:vAlign w:val="center"/>
            <w:hideMark/>
          </w:tcPr>
          <w:p w14:paraId="2F6E7D34" w14:textId="77777777" w:rsidR="00BD5588" w:rsidRPr="00A02093" w:rsidRDefault="008B77AA" w:rsidP="00DB5DCA">
            <w:pPr>
              <w:jc w:val="center"/>
              <w:rPr>
                <w:lang w:eastAsia="en-US"/>
              </w:rPr>
            </w:pPr>
            <w:r w:rsidRPr="00A02093">
              <w:rPr>
                <w:lang w:eastAsia="en-US"/>
              </w:rPr>
              <w:t>0</w:t>
            </w:r>
          </w:p>
        </w:tc>
        <w:tc>
          <w:tcPr>
            <w:tcW w:w="984" w:type="dxa"/>
            <w:shd w:val="clear" w:color="auto" w:fill="auto"/>
            <w:vAlign w:val="center"/>
            <w:hideMark/>
          </w:tcPr>
          <w:p w14:paraId="3CC60D5B" w14:textId="77777777" w:rsidR="00BD5588" w:rsidRPr="00A02093" w:rsidRDefault="008B77AA" w:rsidP="00DB5DCA">
            <w:pPr>
              <w:jc w:val="center"/>
              <w:rPr>
                <w:lang w:eastAsia="en-US"/>
              </w:rPr>
            </w:pPr>
            <w:r w:rsidRPr="00A02093">
              <w:rPr>
                <w:lang w:eastAsia="en-US"/>
              </w:rPr>
              <w:t>0</w:t>
            </w:r>
          </w:p>
        </w:tc>
      </w:tr>
      <w:tr w:rsidR="002535F8" w:rsidRPr="00DB5DCA" w14:paraId="58EEB081" w14:textId="77777777" w:rsidTr="001028B4">
        <w:tc>
          <w:tcPr>
            <w:tcW w:w="1859" w:type="dxa"/>
            <w:shd w:val="clear" w:color="auto" w:fill="auto"/>
            <w:hideMark/>
          </w:tcPr>
          <w:p w14:paraId="039D5240" w14:textId="77777777" w:rsidR="002535F8" w:rsidRPr="00DB5DCA" w:rsidRDefault="002535F8" w:rsidP="00DB5DCA">
            <w:pPr>
              <w:rPr>
                <w:lang w:eastAsia="en-US"/>
              </w:rPr>
            </w:pPr>
            <w:r w:rsidRPr="00DB5DCA">
              <w:rPr>
                <w:lang w:eastAsia="en-US"/>
              </w:rPr>
              <w:t>2. Budžeta izdevumi</w:t>
            </w:r>
          </w:p>
        </w:tc>
        <w:tc>
          <w:tcPr>
            <w:tcW w:w="1126" w:type="dxa"/>
            <w:shd w:val="clear" w:color="auto" w:fill="auto"/>
            <w:vAlign w:val="center"/>
            <w:hideMark/>
          </w:tcPr>
          <w:p w14:paraId="4569073D" w14:textId="77777777" w:rsidR="002535F8" w:rsidRPr="00DB5DCA" w:rsidRDefault="00617602" w:rsidP="00DB5DCA">
            <w:pPr>
              <w:jc w:val="center"/>
              <w:rPr>
                <w:lang w:eastAsia="en-US"/>
              </w:rPr>
            </w:pPr>
            <w:r>
              <w:rPr>
                <w:lang w:eastAsia="en-US"/>
              </w:rPr>
              <w:t>0</w:t>
            </w:r>
          </w:p>
        </w:tc>
        <w:tc>
          <w:tcPr>
            <w:tcW w:w="1126" w:type="dxa"/>
            <w:shd w:val="clear" w:color="auto" w:fill="auto"/>
            <w:vAlign w:val="center"/>
            <w:hideMark/>
          </w:tcPr>
          <w:p w14:paraId="69478C85" w14:textId="482E55EA" w:rsidR="002535F8" w:rsidRPr="00DB5DCA" w:rsidRDefault="00075A16" w:rsidP="00DB5DCA">
            <w:pPr>
              <w:jc w:val="center"/>
              <w:rPr>
                <w:lang w:eastAsia="en-US"/>
              </w:rPr>
            </w:pPr>
            <w:r>
              <w:rPr>
                <w:lang w:eastAsia="en-US"/>
              </w:rPr>
              <w:t>+36</w:t>
            </w:r>
          </w:p>
        </w:tc>
        <w:tc>
          <w:tcPr>
            <w:tcW w:w="984" w:type="dxa"/>
            <w:shd w:val="clear" w:color="auto" w:fill="auto"/>
            <w:vAlign w:val="center"/>
            <w:hideMark/>
          </w:tcPr>
          <w:p w14:paraId="78E6B097" w14:textId="56B7D0CA" w:rsidR="002535F8" w:rsidRPr="00A02093" w:rsidRDefault="008A144B" w:rsidP="00DB5DCA">
            <w:pPr>
              <w:jc w:val="center"/>
              <w:rPr>
                <w:lang w:eastAsia="en-US"/>
              </w:rPr>
            </w:pPr>
            <w:r>
              <w:rPr>
                <w:lang w:eastAsia="en-US"/>
              </w:rPr>
              <w:t>0</w:t>
            </w:r>
          </w:p>
        </w:tc>
        <w:tc>
          <w:tcPr>
            <w:tcW w:w="987" w:type="dxa"/>
            <w:shd w:val="clear" w:color="auto" w:fill="auto"/>
            <w:vAlign w:val="center"/>
          </w:tcPr>
          <w:p w14:paraId="45118EBC" w14:textId="3521BB31" w:rsidR="002535F8" w:rsidRPr="00A02093" w:rsidRDefault="00075A16" w:rsidP="00AF793C">
            <w:pPr>
              <w:jc w:val="center"/>
              <w:rPr>
                <w:lang w:eastAsia="en-US"/>
              </w:rPr>
            </w:pPr>
            <w:r>
              <w:rPr>
                <w:lang w:eastAsia="en-US"/>
              </w:rPr>
              <w:t>+36</w:t>
            </w:r>
          </w:p>
        </w:tc>
        <w:tc>
          <w:tcPr>
            <w:tcW w:w="985" w:type="dxa"/>
            <w:shd w:val="clear" w:color="auto" w:fill="auto"/>
            <w:vAlign w:val="center"/>
            <w:hideMark/>
          </w:tcPr>
          <w:p w14:paraId="4D9DA221" w14:textId="44CB6FC5" w:rsidR="002535F8" w:rsidRPr="00A02093" w:rsidRDefault="008A144B" w:rsidP="00DB5DCA">
            <w:pPr>
              <w:jc w:val="center"/>
              <w:rPr>
                <w:lang w:eastAsia="en-US"/>
              </w:rPr>
            </w:pPr>
            <w:r>
              <w:rPr>
                <w:lang w:eastAsia="en-US"/>
              </w:rPr>
              <w:t>0</w:t>
            </w:r>
          </w:p>
        </w:tc>
        <w:tc>
          <w:tcPr>
            <w:tcW w:w="985" w:type="dxa"/>
            <w:shd w:val="clear" w:color="auto" w:fill="auto"/>
            <w:vAlign w:val="center"/>
          </w:tcPr>
          <w:p w14:paraId="3361B20B" w14:textId="77F7D815" w:rsidR="002535F8" w:rsidRPr="00A02093" w:rsidRDefault="00075A16" w:rsidP="00DB5DCA">
            <w:pPr>
              <w:jc w:val="center"/>
              <w:rPr>
                <w:lang w:eastAsia="en-US"/>
              </w:rPr>
            </w:pPr>
            <w:r>
              <w:rPr>
                <w:lang w:eastAsia="en-US"/>
              </w:rPr>
              <w:t>+36</w:t>
            </w:r>
          </w:p>
        </w:tc>
        <w:tc>
          <w:tcPr>
            <w:tcW w:w="984" w:type="dxa"/>
            <w:shd w:val="clear" w:color="auto" w:fill="auto"/>
            <w:vAlign w:val="center"/>
          </w:tcPr>
          <w:p w14:paraId="45F8129B" w14:textId="136D1CB6" w:rsidR="002535F8" w:rsidRPr="00A02093" w:rsidRDefault="00075A16" w:rsidP="00DB5DCA">
            <w:pPr>
              <w:jc w:val="center"/>
              <w:rPr>
                <w:lang w:eastAsia="en-US"/>
              </w:rPr>
            </w:pPr>
            <w:r>
              <w:rPr>
                <w:lang w:eastAsia="en-US"/>
              </w:rPr>
              <w:t>+36</w:t>
            </w:r>
          </w:p>
        </w:tc>
      </w:tr>
      <w:tr w:rsidR="0002581D" w:rsidRPr="00DB5DCA" w14:paraId="7B56DDA6" w14:textId="77777777" w:rsidTr="001028B4">
        <w:tc>
          <w:tcPr>
            <w:tcW w:w="1859" w:type="dxa"/>
            <w:shd w:val="clear" w:color="auto" w:fill="auto"/>
            <w:hideMark/>
          </w:tcPr>
          <w:p w14:paraId="57F629CA" w14:textId="77777777" w:rsidR="0002581D" w:rsidRPr="00DB5DCA" w:rsidRDefault="0002581D" w:rsidP="00DB5DCA">
            <w:pPr>
              <w:rPr>
                <w:lang w:eastAsia="en-US"/>
              </w:rPr>
            </w:pPr>
            <w:r w:rsidRPr="00DB5DCA">
              <w:rPr>
                <w:lang w:eastAsia="en-US"/>
              </w:rPr>
              <w:t>2.1. valsts pamatbudžets</w:t>
            </w:r>
          </w:p>
        </w:tc>
        <w:tc>
          <w:tcPr>
            <w:tcW w:w="1126" w:type="dxa"/>
            <w:shd w:val="clear" w:color="auto" w:fill="auto"/>
            <w:vAlign w:val="center"/>
            <w:hideMark/>
          </w:tcPr>
          <w:p w14:paraId="19AE1DED" w14:textId="77777777" w:rsidR="0002581D" w:rsidRPr="00DB5DCA" w:rsidRDefault="00617602" w:rsidP="009477D9">
            <w:pPr>
              <w:jc w:val="center"/>
              <w:rPr>
                <w:lang w:eastAsia="en-US"/>
              </w:rPr>
            </w:pPr>
            <w:r>
              <w:rPr>
                <w:lang w:eastAsia="en-US"/>
              </w:rPr>
              <w:t>0</w:t>
            </w:r>
          </w:p>
        </w:tc>
        <w:tc>
          <w:tcPr>
            <w:tcW w:w="1126" w:type="dxa"/>
            <w:shd w:val="clear" w:color="auto" w:fill="auto"/>
            <w:vAlign w:val="center"/>
            <w:hideMark/>
          </w:tcPr>
          <w:p w14:paraId="47BEC405" w14:textId="626238C3" w:rsidR="0002581D" w:rsidRPr="00DB5DCA" w:rsidRDefault="00075A16" w:rsidP="009477D9">
            <w:pPr>
              <w:jc w:val="center"/>
              <w:rPr>
                <w:lang w:eastAsia="en-US"/>
              </w:rPr>
            </w:pPr>
            <w:r>
              <w:rPr>
                <w:lang w:eastAsia="en-US"/>
              </w:rPr>
              <w:t>+36</w:t>
            </w:r>
          </w:p>
        </w:tc>
        <w:tc>
          <w:tcPr>
            <w:tcW w:w="984" w:type="dxa"/>
            <w:shd w:val="clear" w:color="auto" w:fill="auto"/>
            <w:vAlign w:val="center"/>
            <w:hideMark/>
          </w:tcPr>
          <w:p w14:paraId="7C72D31F" w14:textId="5DE530BA" w:rsidR="0002581D" w:rsidRPr="00A02093" w:rsidRDefault="008A144B" w:rsidP="009477D9">
            <w:pPr>
              <w:jc w:val="center"/>
              <w:rPr>
                <w:lang w:eastAsia="en-US"/>
              </w:rPr>
            </w:pPr>
            <w:r>
              <w:rPr>
                <w:lang w:eastAsia="en-US"/>
              </w:rPr>
              <w:t>0</w:t>
            </w:r>
          </w:p>
        </w:tc>
        <w:tc>
          <w:tcPr>
            <w:tcW w:w="987" w:type="dxa"/>
            <w:shd w:val="clear" w:color="auto" w:fill="auto"/>
            <w:vAlign w:val="center"/>
          </w:tcPr>
          <w:p w14:paraId="5C1A4E43" w14:textId="12A85822" w:rsidR="0002581D" w:rsidRPr="00A02093" w:rsidRDefault="00075A16" w:rsidP="009477D9">
            <w:pPr>
              <w:jc w:val="center"/>
              <w:rPr>
                <w:lang w:eastAsia="en-US"/>
              </w:rPr>
            </w:pPr>
            <w:r>
              <w:rPr>
                <w:lang w:eastAsia="en-US"/>
              </w:rPr>
              <w:t>+36</w:t>
            </w:r>
          </w:p>
        </w:tc>
        <w:tc>
          <w:tcPr>
            <w:tcW w:w="985" w:type="dxa"/>
            <w:shd w:val="clear" w:color="auto" w:fill="auto"/>
            <w:vAlign w:val="center"/>
            <w:hideMark/>
          </w:tcPr>
          <w:p w14:paraId="78393FDF" w14:textId="4892F99A" w:rsidR="0002581D" w:rsidRPr="00A02093" w:rsidRDefault="008A144B" w:rsidP="005D3EE4">
            <w:pPr>
              <w:jc w:val="center"/>
              <w:rPr>
                <w:lang w:eastAsia="en-US"/>
              </w:rPr>
            </w:pPr>
            <w:r>
              <w:rPr>
                <w:lang w:eastAsia="en-US"/>
              </w:rPr>
              <w:t>0</w:t>
            </w:r>
          </w:p>
        </w:tc>
        <w:tc>
          <w:tcPr>
            <w:tcW w:w="985" w:type="dxa"/>
            <w:shd w:val="clear" w:color="auto" w:fill="auto"/>
            <w:vAlign w:val="center"/>
          </w:tcPr>
          <w:p w14:paraId="47543E8E" w14:textId="297C076C" w:rsidR="0002581D" w:rsidRPr="00A02093" w:rsidRDefault="00075A16" w:rsidP="009477D9">
            <w:pPr>
              <w:jc w:val="center"/>
              <w:rPr>
                <w:lang w:eastAsia="en-US"/>
              </w:rPr>
            </w:pPr>
            <w:r>
              <w:rPr>
                <w:lang w:eastAsia="en-US"/>
              </w:rPr>
              <w:t>+36</w:t>
            </w:r>
          </w:p>
        </w:tc>
        <w:tc>
          <w:tcPr>
            <w:tcW w:w="984" w:type="dxa"/>
            <w:shd w:val="clear" w:color="auto" w:fill="auto"/>
            <w:vAlign w:val="center"/>
          </w:tcPr>
          <w:p w14:paraId="05F0A0D6" w14:textId="1BE473A6" w:rsidR="0002581D" w:rsidRPr="00A02093" w:rsidRDefault="00075A16" w:rsidP="009477D9">
            <w:pPr>
              <w:jc w:val="center"/>
              <w:rPr>
                <w:lang w:eastAsia="en-US"/>
              </w:rPr>
            </w:pPr>
            <w:r>
              <w:rPr>
                <w:lang w:eastAsia="en-US"/>
              </w:rPr>
              <w:t>+36</w:t>
            </w:r>
          </w:p>
        </w:tc>
      </w:tr>
      <w:tr w:rsidR="00BD5588" w:rsidRPr="00DB5DCA" w14:paraId="606581ED" w14:textId="77777777" w:rsidTr="001028B4">
        <w:tc>
          <w:tcPr>
            <w:tcW w:w="1859" w:type="dxa"/>
            <w:shd w:val="clear" w:color="auto" w:fill="auto"/>
            <w:hideMark/>
          </w:tcPr>
          <w:p w14:paraId="4E821414" w14:textId="77777777" w:rsidR="00BD5588" w:rsidRPr="00DB5DCA" w:rsidRDefault="00BD5588" w:rsidP="00DB5DCA">
            <w:pPr>
              <w:rPr>
                <w:lang w:eastAsia="en-US"/>
              </w:rPr>
            </w:pPr>
            <w:r w:rsidRPr="00DB5DCA">
              <w:rPr>
                <w:lang w:eastAsia="en-US"/>
              </w:rPr>
              <w:lastRenderedPageBreak/>
              <w:t>2.2. valsts speciālais budžets</w:t>
            </w:r>
          </w:p>
        </w:tc>
        <w:tc>
          <w:tcPr>
            <w:tcW w:w="1126" w:type="dxa"/>
            <w:shd w:val="clear" w:color="auto" w:fill="auto"/>
            <w:vAlign w:val="center"/>
            <w:hideMark/>
          </w:tcPr>
          <w:p w14:paraId="6F4916F5" w14:textId="77777777" w:rsidR="00BD5588" w:rsidRPr="00DB5DCA" w:rsidRDefault="008B77AA" w:rsidP="00DB5DCA">
            <w:pPr>
              <w:jc w:val="center"/>
              <w:rPr>
                <w:lang w:eastAsia="en-US"/>
              </w:rPr>
            </w:pPr>
            <w:r w:rsidRPr="00DB5DCA">
              <w:rPr>
                <w:lang w:eastAsia="en-US"/>
              </w:rPr>
              <w:t>0</w:t>
            </w:r>
          </w:p>
        </w:tc>
        <w:tc>
          <w:tcPr>
            <w:tcW w:w="1126" w:type="dxa"/>
            <w:shd w:val="clear" w:color="auto" w:fill="auto"/>
            <w:vAlign w:val="center"/>
            <w:hideMark/>
          </w:tcPr>
          <w:p w14:paraId="6202B115"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1C506B0B" w14:textId="77777777" w:rsidR="00BD5588" w:rsidRPr="00DB5DCA" w:rsidRDefault="008B77AA" w:rsidP="00DB5DCA">
            <w:pPr>
              <w:jc w:val="center"/>
              <w:rPr>
                <w:lang w:eastAsia="en-US"/>
              </w:rPr>
            </w:pPr>
            <w:r w:rsidRPr="00DB5DCA">
              <w:rPr>
                <w:lang w:eastAsia="en-US"/>
              </w:rPr>
              <w:t>0</w:t>
            </w:r>
          </w:p>
        </w:tc>
        <w:tc>
          <w:tcPr>
            <w:tcW w:w="987" w:type="dxa"/>
            <w:shd w:val="clear" w:color="auto" w:fill="auto"/>
            <w:vAlign w:val="center"/>
            <w:hideMark/>
          </w:tcPr>
          <w:p w14:paraId="54273480"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7F15F27B"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08044CAD"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27FE4338" w14:textId="77777777" w:rsidR="00BD5588" w:rsidRPr="00DB5DCA" w:rsidRDefault="008B77AA" w:rsidP="00DB5DCA">
            <w:pPr>
              <w:jc w:val="center"/>
              <w:rPr>
                <w:lang w:eastAsia="en-US"/>
              </w:rPr>
            </w:pPr>
            <w:r w:rsidRPr="00DB5DCA">
              <w:rPr>
                <w:lang w:eastAsia="en-US"/>
              </w:rPr>
              <w:t>0</w:t>
            </w:r>
          </w:p>
        </w:tc>
      </w:tr>
      <w:tr w:rsidR="00BD5588" w:rsidRPr="00DB5DCA" w14:paraId="612A7D2E" w14:textId="77777777" w:rsidTr="001028B4">
        <w:tc>
          <w:tcPr>
            <w:tcW w:w="1859" w:type="dxa"/>
            <w:shd w:val="clear" w:color="auto" w:fill="auto"/>
            <w:hideMark/>
          </w:tcPr>
          <w:p w14:paraId="31363EFC" w14:textId="77777777" w:rsidR="00BD5588" w:rsidRPr="00DB5DCA" w:rsidRDefault="00BD5588" w:rsidP="00DB5DCA">
            <w:pPr>
              <w:rPr>
                <w:lang w:eastAsia="en-US"/>
              </w:rPr>
            </w:pPr>
            <w:r w:rsidRPr="00DB5DCA">
              <w:rPr>
                <w:lang w:eastAsia="en-US"/>
              </w:rPr>
              <w:t>2.3. pašvaldību budžets</w:t>
            </w:r>
          </w:p>
        </w:tc>
        <w:tc>
          <w:tcPr>
            <w:tcW w:w="1126" w:type="dxa"/>
            <w:shd w:val="clear" w:color="auto" w:fill="auto"/>
            <w:vAlign w:val="center"/>
            <w:hideMark/>
          </w:tcPr>
          <w:p w14:paraId="091B13E1" w14:textId="77777777" w:rsidR="00BD5588" w:rsidRPr="00DB5DCA" w:rsidRDefault="008B77AA" w:rsidP="00DB5DCA">
            <w:pPr>
              <w:jc w:val="center"/>
              <w:rPr>
                <w:lang w:eastAsia="en-US"/>
              </w:rPr>
            </w:pPr>
            <w:r w:rsidRPr="00DB5DCA">
              <w:rPr>
                <w:lang w:eastAsia="en-US"/>
              </w:rPr>
              <w:t>0</w:t>
            </w:r>
          </w:p>
        </w:tc>
        <w:tc>
          <w:tcPr>
            <w:tcW w:w="1126" w:type="dxa"/>
            <w:shd w:val="clear" w:color="auto" w:fill="auto"/>
            <w:vAlign w:val="center"/>
            <w:hideMark/>
          </w:tcPr>
          <w:p w14:paraId="6ED65968"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3030CD3D" w14:textId="77777777" w:rsidR="00BD5588" w:rsidRPr="00DB5DCA" w:rsidRDefault="008B77AA" w:rsidP="00DB5DCA">
            <w:pPr>
              <w:jc w:val="center"/>
              <w:rPr>
                <w:lang w:eastAsia="en-US"/>
              </w:rPr>
            </w:pPr>
            <w:r w:rsidRPr="00DB5DCA">
              <w:rPr>
                <w:lang w:eastAsia="en-US"/>
              </w:rPr>
              <w:t>0</w:t>
            </w:r>
          </w:p>
        </w:tc>
        <w:tc>
          <w:tcPr>
            <w:tcW w:w="987" w:type="dxa"/>
            <w:shd w:val="clear" w:color="auto" w:fill="auto"/>
            <w:vAlign w:val="center"/>
            <w:hideMark/>
          </w:tcPr>
          <w:p w14:paraId="5B3E6AB6"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0490A1E3"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3B9F25CE"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637A2D58" w14:textId="77777777" w:rsidR="00BD5588" w:rsidRPr="00DB5DCA" w:rsidRDefault="008B77AA" w:rsidP="00DB5DCA">
            <w:pPr>
              <w:jc w:val="center"/>
              <w:rPr>
                <w:lang w:eastAsia="en-US"/>
              </w:rPr>
            </w:pPr>
            <w:r w:rsidRPr="00DB5DCA">
              <w:rPr>
                <w:lang w:eastAsia="en-US"/>
              </w:rPr>
              <w:t>0</w:t>
            </w:r>
          </w:p>
        </w:tc>
      </w:tr>
      <w:tr w:rsidR="00BD5588" w:rsidRPr="00DB5DCA" w14:paraId="09D9A319" w14:textId="77777777" w:rsidTr="001028B4">
        <w:tc>
          <w:tcPr>
            <w:tcW w:w="1859" w:type="dxa"/>
            <w:shd w:val="clear" w:color="auto" w:fill="auto"/>
            <w:hideMark/>
          </w:tcPr>
          <w:p w14:paraId="36114359" w14:textId="77777777" w:rsidR="00BD5588" w:rsidRPr="00DB5DCA" w:rsidRDefault="00BD5588" w:rsidP="00DB5DCA">
            <w:pPr>
              <w:rPr>
                <w:lang w:eastAsia="en-US"/>
              </w:rPr>
            </w:pPr>
            <w:r w:rsidRPr="00DB5DCA">
              <w:rPr>
                <w:lang w:eastAsia="en-US"/>
              </w:rPr>
              <w:t>3. Finansiālā ietekme</w:t>
            </w:r>
          </w:p>
        </w:tc>
        <w:tc>
          <w:tcPr>
            <w:tcW w:w="1126" w:type="dxa"/>
            <w:shd w:val="clear" w:color="auto" w:fill="auto"/>
            <w:vAlign w:val="center"/>
            <w:hideMark/>
          </w:tcPr>
          <w:p w14:paraId="4F518DEA" w14:textId="77777777" w:rsidR="00BD5588" w:rsidRPr="00DB5DCA" w:rsidRDefault="002535F8" w:rsidP="00DB5DCA">
            <w:pPr>
              <w:jc w:val="center"/>
              <w:rPr>
                <w:lang w:eastAsia="en-US"/>
              </w:rPr>
            </w:pPr>
            <w:r w:rsidRPr="00DB5DCA">
              <w:rPr>
                <w:lang w:eastAsia="en-US"/>
              </w:rPr>
              <w:t>0</w:t>
            </w:r>
          </w:p>
        </w:tc>
        <w:tc>
          <w:tcPr>
            <w:tcW w:w="1126" w:type="dxa"/>
            <w:shd w:val="clear" w:color="auto" w:fill="auto"/>
            <w:vAlign w:val="center"/>
            <w:hideMark/>
          </w:tcPr>
          <w:p w14:paraId="06BE2905" w14:textId="77777777" w:rsidR="00BD5588" w:rsidRPr="00DB5DCA" w:rsidRDefault="002535F8" w:rsidP="00DB5DCA">
            <w:pPr>
              <w:jc w:val="center"/>
              <w:rPr>
                <w:lang w:eastAsia="en-US"/>
              </w:rPr>
            </w:pPr>
            <w:r w:rsidRPr="00DB5DCA">
              <w:rPr>
                <w:lang w:eastAsia="en-US"/>
              </w:rPr>
              <w:t>0</w:t>
            </w:r>
          </w:p>
        </w:tc>
        <w:tc>
          <w:tcPr>
            <w:tcW w:w="984" w:type="dxa"/>
            <w:shd w:val="clear" w:color="auto" w:fill="auto"/>
            <w:vAlign w:val="center"/>
            <w:hideMark/>
          </w:tcPr>
          <w:p w14:paraId="48386495" w14:textId="77777777" w:rsidR="00BD5588" w:rsidRPr="00DB5DCA" w:rsidRDefault="002535F8" w:rsidP="00DB5DCA">
            <w:pPr>
              <w:jc w:val="center"/>
              <w:rPr>
                <w:lang w:eastAsia="en-US"/>
              </w:rPr>
            </w:pPr>
            <w:r w:rsidRPr="00DB5DCA">
              <w:rPr>
                <w:lang w:eastAsia="en-US"/>
              </w:rPr>
              <w:t>0</w:t>
            </w:r>
          </w:p>
        </w:tc>
        <w:tc>
          <w:tcPr>
            <w:tcW w:w="987" w:type="dxa"/>
            <w:shd w:val="clear" w:color="auto" w:fill="auto"/>
            <w:vAlign w:val="center"/>
            <w:hideMark/>
          </w:tcPr>
          <w:p w14:paraId="367771B6" w14:textId="77777777" w:rsidR="00BD5588" w:rsidRPr="00DB5DCA" w:rsidRDefault="002535F8" w:rsidP="00DB5DCA">
            <w:pPr>
              <w:jc w:val="center"/>
              <w:rPr>
                <w:lang w:eastAsia="en-US"/>
              </w:rPr>
            </w:pPr>
            <w:r w:rsidRPr="00DB5DCA">
              <w:rPr>
                <w:lang w:eastAsia="en-US"/>
              </w:rPr>
              <w:t>0</w:t>
            </w:r>
          </w:p>
        </w:tc>
        <w:tc>
          <w:tcPr>
            <w:tcW w:w="985" w:type="dxa"/>
            <w:shd w:val="clear" w:color="auto" w:fill="auto"/>
            <w:vAlign w:val="center"/>
            <w:hideMark/>
          </w:tcPr>
          <w:p w14:paraId="1F5214D5" w14:textId="77777777" w:rsidR="00BD5588" w:rsidRPr="00DB5DCA" w:rsidRDefault="002535F8" w:rsidP="00DB5DCA">
            <w:pPr>
              <w:jc w:val="center"/>
              <w:rPr>
                <w:lang w:eastAsia="en-US"/>
              </w:rPr>
            </w:pPr>
            <w:r w:rsidRPr="00DB5DCA">
              <w:rPr>
                <w:lang w:eastAsia="en-US"/>
              </w:rPr>
              <w:t>0</w:t>
            </w:r>
          </w:p>
        </w:tc>
        <w:tc>
          <w:tcPr>
            <w:tcW w:w="985" w:type="dxa"/>
            <w:shd w:val="clear" w:color="auto" w:fill="auto"/>
            <w:vAlign w:val="center"/>
            <w:hideMark/>
          </w:tcPr>
          <w:p w14:paraId="2AF5EE52" w14:textId="77777777" w:rsidR="00BD5588" w:rsidRPr="00DB5DCA" w:rsidRDefault="002535F8" w:rsidP="00DB5DCA">
            <w:pPr>
              <w:jc w:val="center"/>
              <w:rPr>
                <w:lang w:eastAsia="en-US"/>
              </w:rPr>
            </w:pPr>
            <w:r w:rsidRPr="00DB5DCA">
              <w:rPr>
                <w:lang w:eastAsia="en-US"/>
              </w:rPr>
              <w:t>0</w:t>
            </w:r>
          </w:p>
        </w:tc>
        <w:tc>
          <w:tcPr>
            <w:tcW w:w="984" w:type="dxa"/>
            <w:shd w:val="clear" w:color="auto" w:fill="auto"/>
            <w:vAlign w:val="center"/>
            <w:hideMark/>
          </w:tcPr>
          <w:p w14:paraId="37C48972" w14:textId="77777777" w:rsidR="00BD5588" w:rsidRPr="00DB5DCA" w:rsidRDefault="002535F8" w:rsidP="00DB5DCA">
            <w:pPr>
              <w:jc w:val="center"/>
              <w:rPr>
                <w:lang w:eastAsia="en-US"/>
              </w:rPr>
            </w:pPr>
            <w:r w:rsidRPr="00DB5DCA">
              <w:rPr>
                <w:lang w:eastAsia="en-US"/>
              </w:rPr>
              <w:t>0</w:t>
            </w:r>
          </w:p>
        </w:tc>
      </w:tr>
      <w:tr w:rsidR="00BD5588" w:rsidRPr="00DB5DCA" w14:paraId="155F078C" w14:textId="77777777" w:rsidTr="001028B4">
        <w:tc>
          <w:tcPr>
            <w:tcW w:w="1859" w:type="dxa"/>
            <w:shd w:val="clear" w:color="auto" w:fill="auto"/>
            <w:hideMark/>
          </w:tcPr>
          <w:p w14:paraId="7D52B0E6" w14:textId="77777777" w:rsidR="00BD5588" w:rsidRPr="00DB5DCA" w:rsidRDefault="00BD5588" w:rsidP="00DB5DCA">
            <w:pPr>
              <w:rPr>
                <w:lang w:eastAsia="en-US"/>
              </w:rPr>
            </w:pPr>
            <w:r w:rsidRPr="00DB5DCA">
              <w:rPr>
                <w:lang w:eastAsia="en-US"/>
              </w:rPr>
              <w:t>3.1. valsts pamatbudžets</w:t>
            </w:r>
          </w:p>
        </w:tc>
        <w:tc>
          <w:tcPr>
            <w:tcW w:w="1126" w:type="dxa"/>
            <w:shd w:val="clear" w:color="auto" w:fill="auto"/>
            <w:vAlign w:val="center"/>
            <w:hideMark/>
          </w:tcPr>
          <w:p w14:paraId="685957F2" w14:textId="77777777" w:rsidR="00BD5588" w:rsidRPr="00DB5DCA" w:rsidRDefault="008B77AA" w:rsidP="00DB5DCA">
            <w:pPr>
              <w:jc w:val="center"/>
              <w:rPr>
                <w:lang w:eastAsia="en-US"/>
              </w:rPr>
            </w:pPr>
            <w:r w:rsidRPr="00DB5DCA">
              <w:rPr>
                <w:lang w:eastAsia="en-US"/>
              </w:rPr>
              <w:t>0</w:t>
            </w:r>
          </w:p>
        </w:tc>
        <w:tc>
          <w:tcPr>
            <w:tcW w:w="1126" w:type="dxa"/>
            <w:shd w:val="clear" w:color="auto" w:fill="auto"/>
            <w:vAlign w:val="center"/>
            <w:hideMark/>
          </w:tcPr>
          <w:p w14:paraId="468FCA70"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1555F744" w14:textId="77777777" w:rsidR="00BD5588" w:rsidRPr="00DB5DCA" w:rsidRDefault="008B77AA" w:rsidP="00DB5DCA">
            <w:pPr>
              <w:jc w:val="center"/>
              <w:rPr>
                <w:lang w:eastAsia="en-US"/>
              </w:rPr>
            </w:pPr>
            <w:r w:rsidRPr="00DB5DCA">
              <w:rPr>
                <w:lang w:eastAsia="en-US"/>
              </w:rPr>
              <w:t>0</w:t>
            </w:r>
          </w:p>
        </w:tc>
        <w:tc>
          <w:tcPr>
            <w:tcW w:w="987" w:type="dxa"/>
            <w:shd w:val="clear" w:color="auto" w:fill="auto"/>
            <w:vAlign w:val="center"/>
            <w:hideMark/>
          </w:tcPr>
          <w:p w14:paraId="1DFBB79C"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5CBF8F39"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3BE65659"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0E8B699B" w14:textId="77777777" w:rsidR="00BD5588" w:rsidRPr="00DB5DCA" w:rsidRDefault="008B77AA" w:rsidP="00DB5DCA">
            <w:pPr>
              <w:jc w:val="center"/>
              <w:rPr>
                <w:lang w:eastAsia="en-US"/>
              </w:rPr>
            </w:pPr>
            <w:r w:rsidRPr="00DB5DCA">
              <w:rPr>
                <w:lang w:eastAsia="en-US"/>
              </w:rPr>
              <w:t>0</w:t>
            </w:r>
          </w:p>
        </w:tc>
      </w:tr>
      <w:tr w:rsidR="00BD5588" w:rsidRPr="00DB5DCA" w14:paraId="327EABD8" w14:textId="77777777" w:rsidTr="001028B4">
        <w:tc>
          <w:tcPr>
            <w:tcW w:w="1859" w:type="dxa"/>
            <w:shd w:val="clear" w:color="auto" w:fill="auto"/>
            <w:hideMark/>
          </w:tcPr>
          <w:p w14:paraId="79B14E16" w14:textId="77777777" w:rsidR="00BD5588" w:rsidRPr="00DB5DCA" w:rsidRDefault="00BD5588" w:rsidP="00DB5DCA">
            <w:pPr>
              <w:rPr>
                <w:lang w:eastAsia="en-US"/>
              </w:rPr>
            </w:pPr>
            <w:r w:rsidRPr="00DB5DCA">
              <w:rPr>
                <w:lang w:eastAsia="en-US"/>
              </w:rPr>
              <w:t>3.2. speciālais budžets</w:t>
            </w:r>
          </w:p>
        </w:tc>
        <w:tc>
          <w:tcPr>
            <w:tcW w:w="1126" w:type="dxa"/>
            <w:shd w:val="clear" w:color="auto" w:fill="auto"/>
            <w:vAlign w:val="center"/>
            <w:hideMark/>
          </w:tcPr>
          <w:p w14:paraId="220DA618" w14:textId="77777777" w:rsidR="00BD5588" w:rsidRPr="00DB5DCA" w:rsidRDefault="008B77AA" w:rsidP="00DB5DCA">
            <w:pPr>
              <w:jc w:val="center"/>
              <w:rPr>
                <w:lang w:eastAsia="en-US"/>
              </w:rPr>
            </w:pPr>
            <w:r w:rsidRPr="00DB5DCA">
              <w:rPr>
                <w:lang w:eastAsia="en-US"/>
              </w:rPr>
              <w:t>0</w:t>
            </w:r>
          </w:p>
        </w:tc>
        <w:tc>
          <w:tcPr>
            <w:tcW w:w="1126" w:type="dxa"/>
            <w:shd w:val="clear" w:color="auto" w:fill="auto"/>
            <w:vAlign w:val="center"/>
            <w:hideMark/>
          </w:tcPr>
          <w:p w14:paraId="00A9A331"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06E63252" w14:textId="77777777" w:rsidR="00BD5588" w:rsidRPr="00DB5DCA" w:rsidRDefault="008B77AA" w:rsidP="00DB5DCA">
            <w:pPr>
              <w:jc w:val="center"/>
              <w:rPr>
                <w:lang w:eastAsia="en-US"/>
              </w:rPr>
            </w:pPr>
            <w:r w:rsidRPr="00DB5DCA">
              <w:rPr>
                <w:lang w:eastAsia="en-US"/>
              </w:rPr>
              <w:t>0</w:t>
            </w:r>
          </w:p>
        </w:tc>
        <w:tc>
          <w:tcPr>
            <w:tcW w:w="987" w:type="dxa"/>
            <w:shd w:val="clear" w:color="auto" w:fill="auto"/>
            <w:vAlign w:val="center"/>
            <w:hideMark/>
          </w:tcPr>
          <w:p w14:paraId="48252B03"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54EFF269"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14337FE9"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16BED85A" w14:textId="77777777" w:rsidR="00BD5588" w:rsidRPr="00DB5DCA" w:rsidRDefault="008B77AA" w:rsidP="00DB5DCA">
            <w:pPr>
              <w:jc w:val="center"/>
              <w:rPr>
                <w:lang w:eastAsia="en-US"/>
              </w:rPr>
            </w:pPr>
            <w:r w:rsidRPr="00DB5DCA">
              <w:rPr>
                <w:lang w:eastAsia="en-US"/>
              </w:rPr>
              <w:t>0</w:t>
            </w:r>
          </w:p>
        </w:tc>
      </w:tr>
      <w:tr w:rsidR="00BD5588" w:rsidRPr="00DB5DCA" w14:paraId="44764220" w14:textId="77777777" w:rsidTr="001028B4">
        <w:tc>
          <w:tcPr>
            <w:tcW w:w="1859" w:type="dxa"/>
            <w:shd w:val="clear" w:color="auto" w:fill="auto"/>
            <w:hideMark/>
          </w:tcPr>
          <w:p w14:paraId="40934B52" w14:textId="77777777" w:rsidR="00BD5588" w:rsidRPr="00DB5DCA" w:rsidRDefault="00BD5588" w:rsidP="00DB5DCA">
            <w:pPr>
              <w:rPr>
                <w:lang w:eastAsia="en-US"/>
              </w:rPr>
            </w:pPr>
            <w:r w:rsidRPr="00DB5DCA">
              <w:rPr>
                <w:lang w:eastAsia="en-US"/>
              </w:rPr>
              <w:t>3.3. pašvaldību budžets</w:t>
            </w:r>
          </w:p>
        </w:tc>
        <w:tc>
          <w:tcPr>
            <w:tcW w:w="1126" w:type="dxa"/>
            <w:shd w:val="clear" w:color="auto" w:fill="auto"/>
            <w:vAlign w:val="center"/>
            <w:hideMark/>
          </w:tcPr>
          <w:p w14:paraId="6DBD5810" w14:textId="77777777" w:rsidR="00BD5588" w:rsidRPr="00DB5DCA" w:rsidRDefault="008B77AA" w:rsidP="00DB5DCA">
            <w:pPr>
              <w:jc w:val="center"/>
              <w:rPr>
                <w:lang w:eastAsia="en-US"/>
              </w:rPr>
            </w:pPr>
            <w:r w:rsidRPr="00DB5DCA">
              <w:rPr>
                <w:lang w:eastAsia="en-US"/>
              </w:rPr>
              <w:t>0</w:t>
            </w:r>
          </w:p>
        </w:tc>
        <w:tc>
          <w:tcPr>
            <w:tcW w:w="1126" w:type="dxa"/>
            <w:shd w:val="clear" w:color="auto" w:fill="auto"/>
            <w:vAlign w:val="center"/>
            <w:hideMark/>
          </w:tcPr>
          <w:p w14:paraId="13E83E66"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4FAE87C6" w14:textId="77777777" w:rsidR="00BD5588" w:rsidRPr="00DB5DCA" w:rsidRDefault="008B77AA" w:rsidP="00DB5DCA">
            <w:pPr>
              <w:jc w:val="center"/>
              <w:rPr>
                <w:lang w:eastAsia="en-US"/>
              </w:rPr>
            </w:pPr>
            <w:r w:rsidRPr="00DB5DCA">
              <w:rPr>
                <w:lang w:eastAsia="en-US"/>
              </w:rPr>
              <w:t>0</w:t>
            </w:r>
          </w:p>
        </w:tc>
        <w:tc>
          <w:tcPr>
            <w:tcW w:w="987" w:type="dxa"/>
            <w:shd w:val="clear" w:color="auto" w:fill="auto"/>
            <w:vAlign w:val="center"/>
            <w:hideMark/>
          </w:tcPr>
          <w:p w14:paraId="759BA406"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6EF06600"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1785F687"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094F5B82" w14:textId="77777777" w:rsidR="00BD5588" w:rsidRPr="00DB5DCA" w:rsidRDefault="008B77AA" w:rsidP="00DB5DCA">
            <w:pPr>
              <w:jc w:val="center"/>
              <w:rPr>
                <w:lang w:eastAsia="en-US"/>
              </w:rPr>
            </w:pPr>
            <w:r w:rsidRPr="00DB5DCA">
              <w:rPr>
                <w:lang w:eastAsia="en-US"/>
              </w:rPr>
              <w:t>0</w:t>
            </w:r>
          </w:p>
        </w:tc>
      </w:tr>
      <w:tr w:rsidR="00BD5588" w:rsidRPr="00DB5DCA" w14:paraId="15E175C5" w14:textId="77777777" w:rsidTr="001028B4">
        <w:tc>
          <w:tcPr>
            <w:tcW w:w="1859" w:type="dxa"/>
            <w:shd w:val="clear" w:color="auto" w:fill="auto"/>
            <w:hideMark/>
          </w:tcPr>
          <w:p w14:paraId="07D38C70" w14:textId="77777777" w:rsidR="00BD5588" w:rsidRPr="00DB5DCA" w:rsidRDefault="00BD5588" w:rsidP="00DB5DCA">
            <w:pPr>
              <w:rPr>
                <w:lang w:eastAsia="en-US"/>
              </w:rPr>
            </w:pPr>
            <w:r w:rsidRPr="00DB5DCA">
              <w:rPr>
                <w:lang w:eastAsia="en-US"/>
              </w:rPr>
              <w:t>4. Finanšu līdzekļi papildu izdevumu finansēšanai (kompensējošu izdevumu samazinājumu norāda ar "+" zīmi)</w:t>
            </w:r>
          </w:p>
        </w:tc>
        <w:tc>
          <w:tcPr>
            <w:tcW w:w="1126" w:type="dxa"/>
            <w:shd w:val="clear" w:color="auto" w:fill="auto"/>
            <w:vAlign w:val="center"/>
            <w:hideMark/>
          </w:tcPr>
          <w:p w14:paraId="59BF4AC0" w14:textId="77777777" w:rsidR="00BD5588" w:rsidRPr="00DB5DCA" w:rsidRDefault="00047494" w:rsidP="00DB5DCA">
            <w:pPr>
              <w:jc w:val="center"/>
              <w:rPr>
                <w:lang w:eastAsia="en-US"/>
              </w:rPr>
            </w:pPr>
            <w:r w:rsidRPr="00DB5DCA">
              <w:rPr>
                <w:lang w:eastAsia="en-US"/>
              </w:rPr>
              <w:t>0</w:t>
            </w:r>
          </w:p>
        </w:tc>
        <w:tc>
          <w:tcPr>
            <w:tcW w:w="1126" w:type="dxa"/>
            <w:shd w:val="clear" w:color="auto" w:fill="auto"/>
            <w:vAlign w:val="center"/>
            <w:hideMark/>
          </w:tcPr>
          <w:p w14:paraId="1AA38C15"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0F41BD6D" w14:textId="77777777" w:rsidR="00BD5588" w:rsidRPr="00DB5DCA" w:rsidRDefault="008B77AA" w:rsidP="00DB5DCA">
            <w:pPr>
              <w:jc w:val="center"/>
              <w:rPr>
                <w:lang w:eastAsia="en-US"/>
              </w:rPr>
            </w:pPr>
            <w:r w:rsidRPr="00DB5DCA">
              <w:rPr>
                <w:lang w:eastAsia="en-US"/>
              </w:rPr>
              <w:t>0</w:t>
            </w:r>
          </w:p>
        </w:tc>
        <w:tc>
          <w:tcPr>
            <w:tcW w:w="987" w:type="dxa"/>
            <w:shd w:val="clear" w:color="auto" w:fill="auto"/>
            <w:vAlign w:val="center"/>
            <w:hideMark/>
          </w:tcPr>
          <w:p w14:paraId="680CB020"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49CD97F0"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6F4AA3A2"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1D7468B4" w14:textId="77777777" w:rsidR="00BD5588" w:rsidRPr="00DB5DCA" w:rsidRDefault="008B77AA" w:rsidP="00DB5DCA">
            <w:pPr>
              <w:jc w:val="center"/>
              <w:rPr>
                <w:lang w:eastAsia="en-US"/>
              </w:rPr>
            </w:pPr>
            <w:r w:rsidRPr="00DB5DCA">
              <w:rPr>
                <w:lang w:eastAsia="en-US"/>
              </w:rPr>
              <w:t>0</w:t>
            </w:r>
          </w:p>
        </w:tc>
      </w:tr>
      <w:tr w:rsidR="00BD5588" w:rsidRPr="00DB5DCA" w14:paraId="02EFCAC9" w14:textId="77777777" w:rsidTr="001028B4">
        <w:tc>
          <w:tcPr>
            <w:tcW w:w="1859" w:type="dxa"/>
            <w:shd w:val="clear" w:color="auto" w:fill="auto"/>
            <w:hideMark/>
          </w:tcPr>
          <w:p w14:paraId="056FB8C6" w14:textId="77777777" w:rsidR="00BD5588" w:rsidRPr="00DB5DCA" w:rsidRDefault="00BD5588" w:rsidP="00DB5DCA">
            <w:pPr>
              <w:rPr>
                <w:lang w:eastAsia="en-US"/>
              </w:rPr>
            </w:pPr>
            <w:r w:rsidRPr="00DB5DCA">
              <w:rPr>
                <w:lang w:eastAsia="en-US"/>
              </w:rPr>
              <w:t>5. Precizēta finansiālā ietekme</w:t>
            </w:r>
          </w:p>
        </w:tc>
        <w:tc>
          <w:tcPr>
            <w:tcW w:w="1126" w:type="dxa"/>
            <w:vMerge w:val="restart"/>
            <w:shd w:val="clear" w:color="auto" w:fill="auto"/>
            <w:vAlign w:val="center"/>
            <w:hideMark/>
          </w:tcPr>
          <w:p w14:paraId="2A102BDE" w14:textId="77777777" w:rsidR="008B77AA" w:rsidRPr="00DB5DCA" w:rsidRDefault="00047494" w:rsidP="00DB5DCA">
            <w:pPr>
              <w:jc w:val="center"/>
              <w:rPr>
                <w:lang w:eastAsia="en-US"/>
              </w:rPr>
            </w:pPr>
            <w:r w:rsidRPr="00DB5DCA">
              <w:rPr>
                <w:lang w:eastAsia="en-US"/>
              </w:rPr>
              <w:t>0</w:t>
            </w:r>
          </w:p>
        </w:tc>
        <w:tc>
          <w:tcPr>
            <w:tcW w:w="1126" w:type="dxa"/>
            <w:shd w:val="clear" w:color="auto" w:fill="auto"/>
            <w:vAlign w:val="center"/>
            <w:hideMark/>
          </w:tcPr>
          <w:p w14:paraId="496FB65E" w14:textId="77777777" w:rsidR="00BD5588" w:rsidRPr="00DB5DCA" w:rsidRDefault="008B77AA" w:rsidP="00DB5DCA">
            <w:pPr>
              <w:jc w:val="center"/>
              <w:rPr>
                <w:lang w:eastAsia="en-US"/>
              </w:rPr>
            </w:pPr>
            <w:r w:rsidRPr="00DB5DCA">
              <w:rPr>
                <w:lang w:eastAsia="en-US"/>
              </w:rPr>
              <w:t>0</w:t>
            </w:r>
          </w:p>
        </w:tc>
        <w:tc>
          <w:tcPr>
            <w:tcW w:w="984" w:type="dxa"/>
            <w:vMerge w:val="restart"/>
            <w:shd w:val="clear" w:color="auto" w:fill="auto"/>
            <w:vAlign w:val="center"/>
            <w:hideMark/>
          </w:tcPr>
          <w:p w14:paraId="5DB4225E" w14:textId="77777777" w:rsidR="00BD5588" w:rsidRPr="00DB5DCA" w:rsidRDefault="008B77AA" w:rsidP="00DB5DCA">
            <w:pPr>
              <w:jc w:val="center"/>
              <w:rPr>
                <w:lang w:eastAsia="en-US"/>
              </w:rPr>
            </w:pPr>
            <w:r w:rsidRPr="00DB5DCA">
              <w:rPr>
                <w:lang w:eastAsia="en-US"/>
              </w:rPr>
              <w:t>0</w:t>
            </w:r>
          </w:p>
        </w:tc>
        <w:tc>
          <w:tcPr>
            <w:tcW w:w="987" w:type="dxa"/>
            <w:shd w:val="clear" w:color="auto" w:fill="auto"/>
            <w:vAlign w:val="center"/>
            <w:hideMark/>
          </w:tcPr>
          <w:p w14:paraId="62975167" w14:textId="77777777" w:rsidR="00BD5588" w:rsidRPr="00DB5DCA" w:rsidRDefault="008B77AA" w:rsidP="00DB5DCA">
            <w:pPr>
              <w:jc w:val="center"/>
              <w:rPr>
                <w:lang w:eastAsia="en-US"/>
              </w:rPr>
            </w:pPr>
            <w:r w:rsidRPr="00DB5DCA">
              <w:rPr>
                <w:lang w:eastAsia="en-US"/>
              </w:rPr>
              <w:t>0</w:t>
            </w:r>
          </w:p>
        </w:tc>
        <w:tc>
          <w:tcPr>
            <w:tcW w:w="985" w:type="dxa"/>
            <w:vMerge w:val="restart"/>
            <w:shd w:val="clear" w:color="auto" w:fill="auto"/>
            <w:vAlign w:val="center"/>
            <w:hideMark/>
          </w:tcPr>
          <w:p w14:paraId="621AD3C7" w14:textId="77777777" w:rsidR="00BD5588" w:rsidRPr="00DB5DCA" w:rsidRDefault="008B77AA" w:rsidP="00DB5DCA">
            <w:pPr>
              <w:jc w:val="center"/>
              <w:rPr>
                <w:lang w:eastAsia="en-US"/>
              </w:rPr>
            </w:pPr>
            <w:r w:rsidRPr="00DB5DCA">
              <w:rPr>
                <w:lang w:eastAsia="en-US"/>
              </w:rPr>
              <w:t>0</w:t>
            </w:r>
          </w:p>
        </w:tc>
        <w:tc>
          <w:tcPr>
            <w:tcW w:w="985" w:type="dxa"/>
            <w:shd w:val="clear" w:color="auto" w:fill="auto"/>
            <w:vAlign w:val="center"/>
            <w:hideMark/>
          </w:tcPr>
          <w:p w14:paraId="3A3B60B2"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12F9599E" w14:textId="77777777" w:rsidR="00BD5588" w:rsidRPr="00DB5DCA" w:rsidRDefault="008B77AA" w:rsidP="00DB5DCA">
            <w:pPr>
              <w:jc w:val="center"/>
              <w:rPr>
                <w:lang w:eastAsia="en-US"/>
              </w:rPr>
            </w:pPr>
            <w:r w:rsidRPr="00DB5DCA">
              <w:rPr>
                <w:lang w:eastAsia="en-US"/>
              </w:rPr>
              <w:t>0</w:t>
            </w:r>
          </w:p>
        </w:tc>
      </w:tr>
      <w:tr w:rsidR="00BD5588" w:rsidRPr="00DB5DCA" w14:paraId="38356B1C" w14:textId="77777777" w:rsidTr="001028B4">
        <w:tc>
          <w:tcPr>
            <w:tcW w:w="1859" w:type="dxa"/>
            <w:shd w:val="clear" w:color="auto" w:fill="auto"/>
            <w:hideMark/>
          </w:tcPr>
          <w:p w14:paraId="44431FF7" w14:textId="77777777" w:rsidR="00BD5588" w:rsidRPr="00DB5DCA" w:rsidRDefault="00BD5588" w:rsidP="00DB5DCA">
            <w:pPr>
              <w:rPr>
                <w:lang w:eastAsia="en-US"/>
              </w:rPr>
            </w:pPr>
            <w:r w:rsidRPr="00DB5DCA">
              <w:rPr>
                <w:lang w:eastAsia="en-US"/>
              </w:rPr>
              <w:t>5.1. valsts pamatbudžets</w:t>
            </w:r>
          </w:p>
        </w:tc>
        <w:tc>
          <w:tcPr>
            <w:tcW w:w="1126" w:type="dxa"/>
            <w:vMerge/>
            <w:shd w:val="clear" w:color="auto" w:fill="auto"/>
            <w:vAlign w:val="center"/>
            <w:hideMark/>
          </w:tcPr>
          <w:p w14:paraId="5E2E213F" w14:textId="77777777" w:rsidR="00BD5588" w:rsidRPr="00DB5DCA" w:rsidRDefault="00BD5588" w:rsidP="00DB5DCA">
            <w:pPr>
              <w:jc w:val="center"/>
              <w:rPr>
                <w:lang w:eastAsia="en-US"/>
              </w:rPr>
            </w:pPr>
          </w:p>
        </w:tc>
        <w:tc>
          <w:tcPr>
            <w:tcW w:w="1126" w:type="dxa"/>
            <w:shd w:val="clear" w:color="auto" w:fill="auto"/>
            <w:vAlign w:val="center"/>
            <w:hideMark/>
          </w:tcPr>
          <w:p w14:paraId="2ABE488D" w14:textId="77777777" w:rsidR="00BD5588" w:rsidRPr="00DB5DCA" w:rsidRDefault="008B77AA" w:rsidP="00DB5DCA">
            <w:pPr>
              <w:jc w:val="center"/>
              <w:rPr>
                <w:lang w:eastAsia="en-US"/>
              </w:rPr>
            </w:pPr>
            <w:r w:rsidRPr="00DB5DCA">
              <w:rPr>
                <w:lang w:eastAsia="en-US"/>
              </w:rPr>
              <w:t>0</w:t>
            </w:r>
          </w:p>
        </w:tc>
        <w:tc>
          <w:tcPr>
            <w:tcW w:w="984" w:type="dxa"/>
            <w:vMerge/>
            <w:shd w:val="clear" w:color="auto" w:fill="auto"/>
            <w:vAlign w:val="center"/>
            <w:hideMark/>
          </w:tcPr>
          <w:p w14:paraId="60F21AD1" w14:textId="77777777" w:rsidR="00BD5588" w:rsidRPr="00DB5DCA" w:rsidRDefault="00BD5588" w:rsidP="00DB5DCA">
            <w:pPr>
              <w:jc w:val="center"/>
              <w:rPr>
                <w:lang w:eastAsia="en-US"/>
              </w:rPr>
            </w:pPr>
          </w:p>
        </w:tc>
        <w:tc>
          <w:tcPr>
            <w:tcW w:w="987" w:type="dxa"/>
            <w:shd w:val="clear" w:color="auto" w:fill="auto"/>
            <w:vAlign w:val="center"/>
            <w:hideMark/>
          </w:tcPr>
          <w:p w14:paraId="42FBBCB6" w14:textId="77777777" w:rsidR="00BD5588" w:rsidRPr="00DB5DCA" w:rsidRDefault="008B77AA" w:rsidP="00DB5DCA">
            <w:pPr>
              <w:jc w:val="center"/>
              <w:rPr>
                <w:lang w:eastAsia="en-US"/>
              </w:rPr>
            </w:pPr>
            <w:r w:rsidRPr="00DB5DCA">
              <w:rPr>
                <w:lang w:eastAsia="en-US"/>
              </w:rPr>
              <w:t>0</w:t>
            </w:r>
          </w:p>
        </w:tc>
        <w:tc>
          <w:tcPr>
            <w:tcW w:w="985" w:type="dxa"/>
            <w:vMerge/>
            <w:shd w:val="clear" w:color="auto" w:fill="auto"/>
            <w:vAlign w:val="center"/>
            <w:hideMark/>
          </w:tcPr>
          <w:p w14:paraId="4E836476" w14:textId="77777777" w:rsidR="00BD5588" w:rsidRPr="00DB5DCA" w:rsidRDefault="00BD5588" w:rsidP="00DB5DCA">
            <w:pPr>
              <w:jc w:val="center"/>
              <w:rPr>
                <w:lang w:eastAsia="en-US"/>
              </w:rPr>
            </w:pPr>
          </w:p>
        </w:tc>
        <w:tc>
          <w:tcPr>
            <w:tcW w:w="985" w:type="dxa"/>
            <w:shd w:val="clear" w:color="auto" w:fill="auto"/>
            <w:vAlign w:val="center"/>
            <w:hideMark/>
          </w:tcPr>
          <w:p w14:paraId="21B1F49C"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4301D42C" w14:textId="77777777" w:rsidR="00BD5588" w:rsidRPr="00DB5DCA" w:rsidRDefault="008B77AA" w:rsidP="00DB5DCA">
            <w:pPr>
              <w:jc w:val="center"/>
              <w:rPr>
                <w:lang w:eastAsia="en-US"/>
              </w:rPr>
            </w:pPr>
            <w:r w:rsidRPr="00DB5DCA">
              <w:rPr>
                <w:lang w:eastAsia="en-US"/>
              </w:rPr>
              <w:t>0</w:t>
            </w:r>
          </w:p>
        </w:tc>
      </w:tr>
      <w:tr w:rsidR="00BD5588" w:rsidRPr="00DB5DCA" w14:paraId="35E16D08" w14:textId="77777777" w:rsidTr="001028B4">
        <w:tc>
          <w:tcPr>
            <w:tcW w:w="1859" w:type="dxa"/>
            <w:shd w:val="clear" w:color="auto" w:fill="auto"/>
            <w:hideMark/>
          </w:tcPr>
          <w:p w14:paraId="745AE3D1" w14:textId="77777777" w:rsidR="00BD5588" w:rsidRPr="00DB5DCA" w:rsidRDefault="00BD5588" w:rsidP="00DB5DCA">
            <w:pPr>
              <w:rPr>
                <w:lang w:eastAsia="en-US"/>
              </w:rPr>
            </w:pPr>
            <w:r w:rsidRPr="00DB5DCA">
              <w:rPr>
                <w:lang w:eastAsia="en-US"/>
              </w:rPr>
              <w:t>5.2. speciālais budžets</w:t>
            </w:r>
          </w:p>
        </w:tc>
        <w:tc>
          <w:tcPr>
            <w:tcW w:w="1126" w:type="dxa"/>
            <w:vMerge/>
            <w:shd w:val="clear" w:color="auto" w:fill="auto"/>
            <w:vAlign w:val="center"/>
            <w:hideMark/>
          </w:tcPr>
          <w:p w14:paraId="5DE2B02D" w14:textId="77777777" w:rsidR="00BD5588" w:rsidRPr="00DB5DCA" w:rsidRDefault="00BD5588" w:rsidP="00DB5DCA">
            <w:pPr>
              <w:jc w:val="center"/>
              <w:rPr>
                <w:lang w:eastAsia="en-US"/>
              </w:rPr>
            </w:pPr>
          </w:p>
        </w:tc>
        <w:tc>
          <w:tcPr>
            <w:tcW w:w="1126" w:type="dxa"/>
            <w:shd w:val="clear" w:color="auto" w:fill="auto"/>
            <w:vAlign w:val="center"/>
            <w:hideMark/>
          </w:tcPr>
          <w:p w14:paraId="5C8D93E0" w14:textId="77777777" w:rsidR="00BD5588" w:rsidRPr="00DB5DCA" w:rsidRDefault="008B77AA" w:rsidP="00DB5DCA">
            <w:pPr>
              <w:jc w:val="center"/>
              <w:rPr>
                <w:lang w:eastAsia="en-US"/>
              </w:rPr>
            </w:pPr>
            <w:r w:rsidRPr="00DB5DCA">
              <w:rPr>
                <w:lang w:eastAsia="en-US"/>
              </w:rPr>
              <w:t>0</w:t>
            </w:r>
          </w:p>
        </w:tc>
        <w:tc>
          <w:tcPr>
            <w:tcW w:w="984" w:type="dxa"/>
            <w:vMerge/>
            <w:shd w:val="clear" w:color="auto" w:fill="auto"/>
            <w:vAlign w:val="center"/>
            <w:hideMark/>
          </w:tcPr>
          <w:p w14:paraId="3E6ED6EF" w14:textId="77777777" w:rsidR="00BD5588" w:rsidRPr="00DB5DCA" w:rsidRDefault="00BD5588" w:rsidP="00DB5DCA">
            <w:pPr>
              <w:jc w:val="center"/>
              <w:rPr>
                <w:lang w:eastAsia="en-US"/>
              </w:rPr>
            </w:pPr>
          </w:p>
        </w:tc>
        <w:tc>
          <w:tcPr>
            <w:tcW w:w="987" w:type="dxa"/>
            <w:shd w:val="clear" w:color="auto" w:fill="auto"/>
            <w:vAlign w:val="center"/>
            <w:hideMark/>
          </w:tcPr>
          <w:p w14:paraId="3D387181" w14:textId="77777777" w:rsidR="00BD5588" w:rsidRPr="00DB5DCA" w:rsidRDefault="008B77AA" w:rsidP="00DB5DCA">
            <w:pPr>
              <w:jc w:val="center"/>
              <w:rPr>
                <w:lang w:eastAsia="en-US"/>
              </w:rPr>
            </w:pPr>
            <w:r w:rsidRPr="00DB5DCA">
              <w:rPr>
                <w:lang w:eastAsia="en-US"/>
              </w:rPr>
              <w:t>0</w:t>
            </w:r>
          </w:p>
        </w:tc>
        <w:tc>
          <w:tcPr>
            <w:tcW w:w="985" w:type="dxa"/>
            <w:vMerge/>
            <w:shd w:val="clear" w:color="auto" w:fill="auto"/>
            <w:vAlign w:val="center"/>
            <w:hideMark/>
          </w:tcPr>
          <w:p w14:paraId="3967442C" w14:textId="77777777" w:rsidR="00BD5588" w:rsidRPr="00DB5DCA" w:rsidRDefault="00BD5588" w:rsidP="00DB5DCA">
            <w:pPr>
              <w:jc w:val="center"/>
              <w:rPr>
                <w:lang w:eastAsia="en-US"/>
              </w:rPr>
            </w:pPr>
          </w:p>
        </w:tc>
        <w:tc>
          <w:tcPr>
            <w:tcW w:w="985" w:type="dxa"/>
            <w:shd w:val="clear" w:color="auto" w:fill="auto"/>
            <w:vAlign w:val="center"/>
            <w:hideMark/>
          </w:tcPr>
          <w:p w14:paraId="49AF0B73"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5B570ED8" w14:textId="77777777" w:rsidR="00BD5588" w:rsidRPr="00DB5DCA" w:rsidRDefault="008B77AA" w:rsidP="00DB5DCA">
            <w:pPr>
              <w:jc w:val="center"/>
              <w:rPr>
                <w:lang w:eastAsia="en-US"/>
              </w:rPr>
            </w:pPr>
            <w:r w:rsidRPr="00DB5DCA">
              <w:rPr>
                <w:lang w:eastAsia="en-US"/>
              </w:rPr>
              <w:t>0</w:t>
            </w:r>
          </w:p>
        </w:tc>
      </w:tr>
      <w:tr w:rsidR="00BD5588" w:rsidRPr="00DB5DCA" w14:paraId="67EBCB89" w14:textId="77777777" w:rsidTr="001028B4">
        <w:tc>
          <w:tcPr>
            <w:tcW w:w="1859" w:type="dxa"/>
            <w:shd w:val="clear" w:color="auto" w:fill="auto"/>
            <w:hideMark/>
          </w:tcPr>
          <w:p w14:paraId="24208959" w14:textId="77777777" w:rsidR="00BD5588" w:rsidRPr="00DB5DCA" w:rsidRDefault="00BD5588" w:rsidP="00DB5DCA">
            <w:pPr>
              <w:rPr>
                <w:lang w:eastAsia="en-US"/>
              </w:rPr>
            </w:pPr>
            <w:r w:rsidRPr="00DB5DCA">
              <w:rPr>
                <w:lang w:eastAsia="en-US"/>
              </w:rPr>
              <w:t>5.3. pašvaldību budžets</w:t>
            </w:r>
          </w:p>
        </w:tc>
        <w:tc>
          <w:tcPr>
            <w:tcW w:w="1126" w:type="dxa"/>
            <w:vMerge/>
            <w:shd w:val="clear" w:color="auto" w:fill="auto"/>
            <w:vAlign w:val="center"/>
            <w:hideMark/>
          </w:tcPr>
          <w:p w14:paraId="0F41F314" w14:textId="77777777" w:rsidR="00BD5588" w:rsidRPr="00DB5DCA" w:rsidRDefault="00BD5588" w:rsidP="00DB5DCA">
            <w:pPr>
              <w:jc w:val="center"/>
              <w:rPr>
                <w:lang w:eastAsia="en-US"/>
              </w:rPr>
            </w:pPr>
          </w:p>
        </w:tc>
        <w:tc>
          <w:tcPr>
            <w:tcW w:w="1126" w:type="dxa"/>
            <w:shd w:val="clear" w:color="auto" w:fill="auto"/>
            <w:vAlign w:val="center"/>
            <w:hideMark/>
          </w:tcPr>
          <w:p w14:paraId="7016EE46" w14:textId="77777777" w:rsidR="00BD5588" w:rsidRPr="00DB5DCA" w:rsidRDefault="008B77AA" w:rsidP="00DB5DCA">
            <w:pPr>
              <w:jc w:val="center"/>
              <w:rPr>
                <w:lang w:eastAsia="en-US"/>
              </w:rPr>
            </w:pPr>
            <w:r w:rsidRPr="00DB5DCA">
              <w:rPr>
                <w:lang w:eastAsia="en-US"/>
              </w:rPr>
              <w:t>0</w:t>
            </w:r>
          </w:p>
        </w:tc>
        <w:tc>
          <w:tcPr>
            <w:tcW w:w="984" w:type="dxa"/>
            <w:vMerge/>
            <w:shd w:val="clear" w:color="auto" w:fill="auto"/>
            <w:vAlign w:val="center"/>
            <w:hideMark/>
          </w:tcPr>
          <w:p w14:paraId="3ABFF37C" w14:textId="77777777" w:rsidR="00BD5588" w:rsidRPr="00DB5DCA" w:rsidRDefault="00BD5588" w:rsidP="00DB5DCA">
            <w:pPr>
              <w:jc w:val="center"/>
              <w:rPr>
                <w:lang w:eastAsia="en-US"/>
              </w:rPr>
            </w:pPr>
          </w:p>
        </w:tc>
        <w:tc>
          <w:tcPr>
            <w:tcW w:w="987" w:type="dxa"/>
            <w:shd w:val="clear" w:color="auto" w:fill="auto"/>
            <w:vAlign w:val="center"/>
            <w:hideMark/>
          </w:tcPr>
          <w:p w14:paraId="70EC9FDB" w14:textId="77777777" w:rsidR="00BD5588" w:rsidRPr="00DB5DCA" w:rsidRDefault="008B77AA" w:rsidP="00DB5DCA">
            <w:pPr>
              <w:jc w:val="center"/>
              <w:rPr>
                <w:lang w:eastAsia="en-US"/>
              </w:rPr>
            </w:pPr>
            <w:r w:rsidRPr="00DB5DCA">
              <w:rPr>
                <w:lang w:eastAsia="en-US"/>
              </w:rPr>
              <w:t>0</w:t>
            </w:r>
          </w:p>
        </w:tc>
        <w:tc>
          <w:tcPr>
            <w:tcW w:w="985" w:type="dxa"/>
            <w:vMerge/>
            <w:shd w:val="clear" w:color="auto" w:fill="auto"/>
            <w:vAlign w:val="center"/>
            <w:hideMark/>
          </w:tcPr>
          <w:p w14:paraId="40BD7D29" w14:textId="77777777" w:rsidR="00BD5588" w:rsidRPr="00DB5DCA" w:rsidRDefault="00BD5588" w:rsidP="00DB5DCA">
            <w:pPr>
              <w:jc w:val="center"/>
              <w:rPr>
                <w:lang w:eastAsia="en-US"/>
              </w:rPr>
            </w:pPr>
          </w:p>
        </w:tc>
        <w:tc>
          <w:tcPr>
            <w:tcW w:w="985" w:type="dxa"/>
            <w:shd w:val="clear" w:color="auto" w:fill="auto"/>
            <w:vAlign w:val="center"/>
            <w:hideMark/>
          </w:tcPr>
          <w:p w14:paraId="40775740" w14:textId="77777777" w:rsidR="00BD5588" w:rsidRPr="00DB5DCA" w:rsidRDefault="008B77AA" w:rsidP="00DB5DCA">
            <w:pPr>
              <w:jc w:val="center"/>
              <w:rPr>
                <w:lang w:eastAsia="en-US"/>
              </w:rPr>
            </w:pPr>
            <w:r w:rsidRPr="00DB5DCA">
              <w:rPr>
                <w:lang w:eastAsia="en-US"/>
              </w:rPr>
              <w:t>0</w:t>
            </w:r>
          </w:p>
        </w:tc>
        <w:tc>
          <w:tcPr>
            <w:tcW w:w="984" w:type="dxa"/>
            <w:shd w:val="clear" w:color="auto" w:fill="auto"/>
            <w:vAlign w:val="center"/>
            <w:hideMark/>
          </w:tcPr>
          <w:p w14:paraId="3D5B056C" w14:textId="77777777" w:rsidR="00BD5588" w:rsidRPr="00DB5DCA" w:rsidRDefault="008B77AA" w:rsidP="00DB5DCA">
            <w:pPr>
              <w:jc w:val="center"/>
              <w:rPr>
                <w:lang w:eastAsia="en-US"/>
              </w:rPr>
            </w:pPr>
            <w:r w:rsidRPr="00DB5DCA">
              <w:rPr>
                <w:lang w:eastAsia="en-US"/>
              </w:rPr>
              <w:t>0</w:t>
            </w:r>
          </w:p>
        </w:tc>
      </w:tr>
      <w:tr w:rsidR="00BD5588" w:rsidRPr="00DB5DCA" w14:paraId="5B33E2F5" w14:textId="77777777" w:rsidTr="001028B4">
        <w:tc>
          <w:tcPr>
            <w:tcW w:w="1859" w:type="dxa"/>
            <w:shd w:val="clear" w:color="auto" w:fill="auto"/>
            <w:hideMark/>
          </w:tcPr>
          <w:p w14:paraId="5BEC35A9" w14:textId="77777777" w:rsidR="00BD5588" w:rsidRPr="00214246" w:rsidRDefault="00BD5588" w:rsidP="00DB5DCA">
            <w:pPr>
              <w:rPr>
                <w:lang w:eastAsia="en-US"/>
              </w:rPr>
            </w:pPr>
            <w:r w:rsidRPr="00214246">
              <w:rPr>
                <w:lang w:eastAsia="en-US"/>
              </w:rPr>
              <w:t>6. Detalizēts ieņēmumu un izdevumu aprēķins (ja nepieciešams, detalizētu ieņēmumu un izdevumu aprēķinu var pievienot anotācijas pielikumā)</w:t>
            </w:r>
          </w:p>
        </w:tc>
        <w:tc>
          <w:tcPr>
            <w:tcW w:w="7177" w:type="dxa"/>
            <w:gridSpan w:val="7"/>
            <w:vMerge w:val="restart"/>
            <w:shd w:val="clear" w:color="auto" w:fill="auto"/>
            <w:vAlign w:val="center"/>
            <w:hideMark/>
          </w:tcPr>
          <w:p w14:paraId="0FD38E02" w14:textId="033BF8D7" w:rsidR="00656475" w:rsidRPr="00214246" w:rsidRDefault="005B408E" w:rsidP="00D13069">
            <w:pPr>
              <w:ind w:right="80" w:firstLine="421"/>
              <w:jc w:val="both"/>
              <w:rPr>
                <w:rFonts w:eastAsia="Lucida Sans Unicode"/>
                <w:kern w:val="1"/>
              </w:rPr>
            </w:pPr>
            <w:r w:rsidRPr="00214246">
              <w:rPr>
                <w:rFonts w:eastAsia="Lucida Sans Unicode"/>
                <w:kern w:val="1"/>
              </w:rPr>
              <w:t xml:space="preserve">Saistībā </w:t>
            </w:r>
            <w:r w:rsidR="00AE5AC4" w:rsidRPr="00214246">
              <w:rPr>
                <w:rFonts w:eastAsia="Lucida Sans Unicode"/>
                <w:kern w:val="1"/>
              </w:rPr>
              <w:t>ar to, ka atsevišķi maksas pakalpojuma veidi</w:t>
            </w:r>
            <w:r w:rsidRPr="00214246">
              <w:rPr>
                <w:rFonts w:eastAsia="Lucida Sans Unicode"/>
                <w:kern w:val="1"/>
              </w:rPr>
              <w:t xml:space="preserve"> netiek pieprasīti </w:t>
            </w:r>
            <w:r w:rsidR="00656475" w:rsidRPr="00214246">
              <w:rPr>
                <w:rFonts w:eastAsia="Lucida Sans Unicode"/>
                <w:kern w:val="1"/>
              </w:rPr>
              <w:t xml:space="preserve"> un vienlaicīgi </w:t>
            </w:r>
            <w:r w:rsidR="00AE5AC4" w:rsidRPr="00214246">
              <w:rPr>
                <w:rFonts w:eastAsia="Lucida Sans Unicode"/>
                <w:kern w:val="1"/>
              </w:rPr>
              <w:t>atsevišķam maksas pakalpojuma veidam</w:t>
            </w:r>
            <w:r w:rsidR="00656475" w:rsidRPr="00214246">
              <w:rPr>
                <w:rFonts w:eastAsia="Lucida Sans Unicode"/>
                <w:kern w:val="1"/>
              </w:rPr>
              <w:t xml:space="preserve"> </w:t>
            </w:r>
            <w:r w:rsidR="00CB62D2">
              <w:rPr>
                <w:rFonts w:eastAsia="Lucida Sans Unicode"/>
                <w:kern w:val="1"/>
              </w:rPr>
              <w:t xml:space="preserve">(“Dokumentu tehniskā ekspertīze”), pamatojoties uz veikto maksas pakalpojuma izcenojuma aprēķinu, </w:t>
            </w:r>
            <w:r w:rsidR="00656475" w:rsidRPr="00214246">
              <w:rPr>
                <w:rFonts w:eastAsia="Lucida Sans Unicode"/>
                <w:kern w:val="1"/>
              </w:rPr>
              <w:t>izcenojums ir palielināts,</w:t>
            </w:r>
            <w:r w:rsidR="00CB62D2">
              <w:rPr>
                <w:rFonts w:eastAsia="Lucida Sans Unicode"/>
                <w:kern w:val="1"/>
              </w:rPr>
              <w:t xml:space="preserve"> tad gadījumā, ja maksas pakalpojums tiks sniegts, var </w:t>
            </w:r>
            <w:r w:rsidR="008D13E9">
              <w:rPr>
                <w:rFonts w:eastAsia="Lucida Sans Unicode"/>
                <w:kern w:val="1"/>
              </w:rPr>
              <w:t>pieņemt, ka</w:t>
            </w:r>
            <w:r w:rsidR="00656475" w:rsidRPr="00214246">
              <w:rPr>
                <w:rFonts w:eastAsia="Lucida Sans Unicode"/>
                <w:kern w:val="1"/>
              </w:rPr>
              <w:t xml:space="preserve"> </w:t>
            </w:r>
            <w:r w:rsidR="008D13E9">
              <w:rPr>
                <w:rFonts w:eastAsia="Lucida Sans Unicode"/>
                <w:kern w:val="1"/>
              </w:rPr>
              <w:t>2020.gadā un turpmāk</w:t>
            </w:r>
            <w:r w:rsidR="002B30FC" w:rsidRPr="00214246">
              <w:rPr>
                <w:rFonts w:eastAsia="Lucida Sans Unicode"/>
                <w:kern w:val="1"/>
              </w:rPr>
              <w:t xml:space="preserve"> </w:t>
            </w:r>
            <w:r w:rsidR="008D13E9">
              <w:rPr>
                <w:rFonts w:eastAsia="Lucida Sans Unicode"/>
                <w:kern w:val="1"/>
              </w:rPr>
              <w:t>ieņēmumi un ar tiem saistītie izdevumi palielināsies (saskaņā ar</w:t>
            </w:r>
            <w:r w:rsidR="00C75917">
              <w:rPr>
                <w:rFonts w:eastAsia="Lucida Sans Unicode"/>
                <w:kern w:val="1"/>
              </w:rPr>
              <w:t xml:space="preserve"> </w:t>
            </w:r>
            <w:r w:rsidR="008D13E9">
              <w:rPr>
                <w:rFonts w:eastAsia="Lucida Sans Unicode"/>
                <w:kern w:val="1"/>
              </w:rPr>
              <w:t>aprēķinu – vidējais palielinājums ik gadu 36</w:t>
            </w:r>
            <w:r w:rsidR="000876A4">
              <w:rPr>
                <w:rFonts w:eastAsia="Lucida Sans Unicode"/>
                <w:kern w:val="1"/>
              </w:rPr>
              <w:t xml:space="preserve"> </w:t>
            </w:r>
            <w:proofErr w:type="spellStart"/>
            <w:r w:rsidR="000876A4">
              <w:rPr>
                <w:rFonts w:eastAsia="Lucida Sans Unicode"/>
                <w:i/>
                <w:kern w:val="1"/>
              </w:rPr>
              <w:t>euro</w:t>
            </w:r>
            <w:proofErr w:type="spellEnd"/>
            <w:r w:rsidR="000876A4">
              <w:rPr>
                <w:rFonts w:eastAsia="Lucida Sans Unicode"/>
                <w:i/>
                <w:kern w:val="1"/>
              </w:rPr>
              <w:t xml:space="preserve"> </w:t>
            </w:r>
            <w:r w:rsidR="000876A4">
              <w:rPr>
                <w:rFonts w:eastAsia="Lucida Sans Unicode"/>
                <w:kern w:val="1"/>
              </w:rPr>
              <w:t>apmērā</w:t>
            </w:r>
            <w:r w:rsidR="008D13E9">
              <w:rPr>
                <w:rFonts w:eastAsia="Lucida Sans Unicode"/>
                <w:kern w:val="1"/>
              </w:rPr>
              <w:t>)</w:t>
            </w:r>
            <w:r w:rsidRPr="00214246">
              <w:rPr>
                <w:rFonts w:eastAsia="Lucida Sans Unicode"/>
                <w:kern w:val="1"/>
              </w:rPr>
              <w:t>.</w:t>
            </w:r>
          </w:p>
          <w:p w14:paraId="41FB8EA2" w14:textId="12D2D3F7" w:rsidR="00EE546F" w:rsidRPr="00214246" w:rsidRDefault="00214246" w:rsidP="00D13069">
            <w:pPr>
              <w:ind w:right="80" w:firstLine="421"/>
              <w:jc w:val="both"/>
              <w:rPr>
                <w:rFonts w:eastAsia="Lucida Sans Unicode"/>
                <w:kern w:val="1"/>
              </w:rPr>
            </w:pPr>
            <w:r>
              <w:rPr>
                <w:rFonts w:eastAsia="Lucida Sans Unicode"/>
                <w:kern w:val="1"/>
              </w:rPr>
              <w:t>M</w:t>
            </w:r>
            <w:r w:rsidRPr="00214246">
              <w:rPr>
                <w:rFonts w:eastAsia="Lucida Sans Unicode"/>
                <w:kern w:val="1"/>
              </w:rPr>
              <w:t>aksas pakalpojum</w:t>
            </w:r>
            <w:r>
              <w:rPr>
                <w:rFonts w:eastAsia="Lucida Sans Unicode"/>
                <w:kern w:val="1"/>
              </w:rPr>
              <w:t>a</w:t>
            </w:r>
            <w:r w:rsidRPr="00214246">
              <w:rPr>
                <w:rFonts w:eastAsia="Lucida Sans Unicode"/>
                <w:kern w:val="1"/>
              </w:rPr>
              <w:t xml:space="preserve"> </w:t>
            </w:r>
            <w:r w:rsidRPr="00214246">
              <w:rPr>
                <w:shd w:val="clear" w:color="auto" w:fill="FFFFFF"/>
              </w:rPr>
              <w:t>veid</w:t>
            </w:r>
            <w:r w:rsidR="00EC20FB">
              <w:rPr>
                <w:shd w:val="clear" w:color="auto" w:fill="FFFFFF"/>
              </w:rPr>
              <w:t>a</w:t>
            </w:r>
            <w:r w:rsidRPr="00214246">
              <w:rPr>
                <w:shd w:val="clear" w:color="auto" w:fill="FFFFFF"/>
              </w:rPr>
              <w:t xml:space="preserve"> </w:t>
            </w:r>
            <w:r w:rsidRPr="00214246">
              <w:t xml:space="preserve">“Dokumentu tehniskā ekspertīze” </w:t>
            </w:r>
            <w:r w:rsidR="00EC20FB">
              <w:rPr>
                <w:rFonts w:eastAsia="Lucida Sans Unicode"/>
                <w:kern w:val="1"/>
              </w:rPr>
              <w:t>izcenojum</w:t>
            </w:r>
            <w:r w:rsidR="00656475" w:rsidRPr="00214246">
              <w:rPr>
                <w:rFonts w:eastAsia="Lucida Sans Unicode"/>
                <w:kern w:val="1"/>
              </w:rPr>
              <w:t xml:space="preserve">s </w:t>
            </w:r>
            <w:r w:rsidR="00EC20FB">
              <w:rPr>
                <w:rFonts w:eastAsia="Lucida Sans Unicode"/>
                <w:kern w:val="1"/>
              </w:rPr>
              <w:t xml:space="preserve">aktualizēts </w:t>
            </w:r>
            <w:r w:rsidR="00656475" w:rsidRPr="00214246">
              <w:rPr>
                <w:rFonts w:eastAsia="Lucida Sans Unicode"/>
                <w:kern w:val="1"/>
              </w:rPr>
              <w:t>atbilstoši Ministru kabin</w:t>
            </w:r>
            <w:r w:rsidR="00D134BC" w:rsidRPr="00214246">
              <w:rPr>
                <w:rFonts w:eastAsia="Lucida Sans Unicode"/>
                <w:kern w:val="1"/>
              </w:rPr>
              <w:t>eta 2011.</w:t>
            </w:r>
            <w:r w:rsidR="00785A66" w:rsidRPr="00214246">
              <w:rPr>
                <w:rFonts w:eastAsia="Lucida Sans Unicode"/>
                <w:kern w:val="1"/>
              </w:rPr>
              <w:t xml:space="preserve"> </w:t>
            </w:r>
            <w:r w:rsidR="00D134BC" w:rsidRPr="00214246">
              <w:rPr>
                <w:rFonts w:eastAsia="Lucida Sans Unicode"/>
                <w:kern w:val="1"/>
              </w:rPr>
              <w:t>gada 3.</w:t>
            </w:r>
            <w:r w:rsidR="00785A66" w:rsidRPr="00214246">
              <w:rPr>
                <w:rFonts w:eastAsia="Lucida Sans Unicode"/>
                <w:kern w:val="1"/>
              </w:rPr>
              <w:t xml:space="preserve"> </w:t>
            </w:r>
            <w:r w:rsidR="00D134BC" w:rsidRPr="00214246">
              <w:rPr>
                <w:rFonts w:eastAsia="Lucida Sans Unicode"/>
                <w:kern w:val="1"/>
              </w:rPr>
              <w:t>maija noteikumu</w:t>
            </w:r>
            <w:r w:rsidR="00656475" w:rsidRPr="00214246">
              <w:rPr>
                <w:rFonts w:eastAsia="Lucida Sans Unicode"/>
                <w:kern w:val="1"/>
              </w:rPr>
              <w:t xml:space="preserve"> Nr.</w:t>
            </w:r>
            <w:r w:rsidR="00785A66" w:rsidRPr="00214246">
              <w:rPr>
                <w:rFonts w:eastAsia="Lucida Sans Unicode"/>
                <w:kern w:val="1"/>
              </w:rPr>
              <w:t xml:space="preserve"> 333 “</w:t>
            </w:r>
            <w:r w:rsidR="00656475" w:rsidRPr="00214246">
              <w:rPr>
                <w:rFonts w:eastAsia="Lucida Sans Unicode"/>
                <w:kern w:val="1"/>
              </w:rPr>
              <w:t xml:space="preserve">Kārtība, kādā plānojami un uzskaitāmi ieņēmumi no maksas pakalpojumiem un ar šo pakalpojumu sniegšanu saistītie izdevumi, kā arī maksas pakalpojumu izcenojumu noteikšanas metodika un izcenojumu apstiprināšanas kārtība” </w:t>
            </w:r>
            <w:r>
              <w:t>prasībām.</w:t>
            </w:r>
            <w:r w:rsidR="00AF3D05" w:rsidRPr="00214246">
              <w:t xml:space="preserve"> </w:t>
            </w:r>
            <w:r>
              <w:t>Izvērtēti m</w:t>
            </w:r>
            <w:r>
              <w:rPr>
                <w:bCs/>
              </w:rPr>
              <w:t xml:space="preserve">inētā </w:t>
            </w:r>
            <w:r w:rsidR="00AE5AC4" w:rsidRPr="00214246">
              <w:rPr>
                <w:bCs/>
              </w:rPr>
              <w:t xml:space="preserve">maksas pakalpojuma </w:t>
            </w:r>
            <w:r w:rsidR="00AE5AC4" w:rsidRPr="00214246">
              <w:rPr>
                <w:shd w:val="clear" w:color="auto" w:fill="FFFFFF"/>
              </w:rPr>
              <w:t xml:space="preserve">veida </w:t>
            </w:r>
            <w:r w:rsidR="00AE5AC4" w:rsidRPr="00214246">
              <w:rPr>
                <w:bCs/>
              </w:rPr>
              <w:t>nodrošināšanai nepieciešamie tiešie izdevumi un ņemt</w:t>
            </w:r>
            <w:r w:rsidR="00FC51F2">
              <w:rPr>
                <w:bCs/>
              </w:rPr>
              <w:t>a</w:t>
            </w:r>
            <w:r w:rsidR="00AE5AC4" w:rsidRPr="00214246">
              <w:rPr>
                <w:bCs/>
              </w:rPr>
              <w:t xml:space="preserve">s vērā uz tā attiecināmās netiešās izmaksas. </w:t>
            </w:r>
            <w:r w:rsidR="00D134BC" w:rsidRPr="00214246">
              <w:rPr>
                <w:rFonts w:eastAsia="Lucida Sans Unicode"/>
                <w:kern w:val="1"/>
              </w:rPr>
              <w:t xml:space="preserve">Maksas pakalpojumu </w:t>
            </w:r>
            <w:r w:rsidR="00AE5AC4" w:rsidRPr="00214246">
              <w:rPr>
                <w:shd w:val="clear" w:color="auto" w:fill="FFFFFF"/>
              </w:rPr>
              <w:t xml:space="preserve">veida </w:t>
            </w:r>
            <w:r w:rsidR="00AE5AC4" w:rsidRPr="00214246">
              <w:t xml:space="preserve">“Dokumentu tehniskā ekspertīze” </w:t>
            </w:r>
            <w:r w:rsidR="00D134BC" w:rsidRPr="00214246">
              <w:rPr>
                <w:rFonts w:eastAsia="Lucida Sans Unicode"/>
                <w:kern w:val="1"/>
              </w:rPr>
              <w:t>izcenojum</w:t>
            </w:r>
            <w:r w:rsidR="00AE5AC4" w:rsidRPr="00214246">
              <w:rPr>
                <w:rFonts w:eastAsia="Lucida Sans Unicode"/>
                <w:kern w:val="1"/>
              </w:rPr>
              <w:t>s</w:t>
            </w:r>
            <w:r w:rsidR="00D134BC" w:rsidRPr="00214246">
              <w:rPr>
                <w:rFonts w:eastAsia="Lucida Sans Unicode"/>
                <w:kern w:val="1"/>
              </w:rPr>
              <w:t xml:space="preserve"> tika rēķināt</w:t>
            </w:r>
            <w:r w:rsidR="00AE5AC4" w:rsidRPr="00214246">
              <w:rPr>
                <w:rFonts w:eastAsia="Lucida Sans Unicode"/>
                <w:kern w:val="1"/>
              </w:rPr>
              <w:t>s</w:t>
            </w:r>
            <w:r w:rsidR="000C611A" w:rsidRPr="00214246">
              <w:rPr>
                <w:rFonts w:eastAsia="Lucida Sans Unicode"/>
                <w:kern w:val="1"/>
              </w:rPr>
              <w:t xml:space="preserve"> atbilstoši </w:t>
            </w:r>
            <w:r w:rsidR="00F660BF" w:rsidRPr="00214246">
              <w:rPr>
                <w:rFonts w:eastAsia="Lucida Sans Unicode"/>
                <w:kern w:val="1"/>
              </w:rPr>
              <w:t xml:space="preserve">esošajai </w:t>
            </w:r>
            <w:r w:rsidR="000C611A" w:rsidRPr="00214246">
              <w:rPr>
                <w:rFonts w:eastAsia="Lucida Sans Unicode"/>
                <w:kern w:val="1"/>
              </w:rPr>
              <w:t>situācijai</w:t>
            </w:r>
            <w:r w:rsidR="00EE546F" w:rsidRPr="00214246">
              <w:rPr>
                <w:rFonts w:eastAsia="Lucida Sans Unicode"/>
                <w:kern w:val="1"/>
              </w:rPr>
              <w:t>.</w:t>
            </w:r>
          </w:p>
          <w:p w14:paraId="7A5B4CB6" w14:textId="77777777" w:rsidR="0025314A" w:rsidRDefault="00AF3D05" w:rsidP="00D13069">
            <w:pPr>
              <w:ind w:right="80" w:firstLine="421"/>
              <w:jc w:val="both"/>
            </w:pPr>
            <w:r w:rsidRPr="00D13069">
              <w:t>Veikta</w:t>
            </w:r>
            <w:r w:rsidR="007974E9">
              <w:t xml:space="preserve"> visu Valsts robežsardzes sniegto</w:t>
            </w:r>
            <w:r w:rsidRPr="00D13069">
              <w:t xml:space="preserve"> maksas pakalpojumu apjoma izvērtēšana, un </w:t>
            </w:r>
            <w:r w:rsidR="007974E9">
              <w:t>Valsts robežsardze ir konstatējusi, ka atsevišķus maksas pakalpojumus nepieciešams svītrot, kā arī attiecīgi p</w:t>
            </w:r>
            <w:r w:rsidRPr="00D13069">
              <w:t>recizēt</w:t>
            </w:r>
            <w:r w:rsidR="007974E9">
              <w:t>a</w:t>
            </w:r>
            <w:r w:rsidRPr="00D13069">
              <w:t xml:space="preserve"> </w:t>
            </w:r>
            <w:r w:rsidR="00F27434" w:rsidRPr="00D13069">
              <w:t xml:space="preserve">maksas </w:t>
            </w:r>
            <w:r w:rsidR="007974E9">
              <w:lastRenderedPageBreak/>
              <w:t>pakalpojuma veida “</w:t>
            </w:r>
            <w:r w:rsidR="00E862FC">
              <w:t>Dokumentu tehniskā ekspertīze</w:t>
            </w:r>
            <w:r w:rsidR="007974E9">
              <w:t>”</w:t>
            </w:r>
            <w:r w:rsidR="00E862FC">
              <w:t xml:space="preserve"> cena</w:t>
            </w:r>
            <w:r w:rsidR="00F27434" w:rsidRPr="00D13069">
              <w:t xml:space="preserve"> un </w:t>
            </w:r>
            <w:r w:rsidRPr="00D13069">
              <w:t>plānotie ieņēmumi</w:t>
            </w:r>
            <w:r w:rsidR="00E862FC">
              <w:t>.</w:t>
            </w:r>
            <w:r w:rsidR="00F27434" w:rsidRPr="00D13069">
              <w:t xml:space="preserve"> </w:t>
            </w:r>
            <w:r w:rsidR="0025314A">
              <w:t xml:space="preserve">Detalizēta informācija atspoguļota </w:t>
            </w:r>
            <w:r w:rsidR="004C17D2" w:rsidRPr="00D13069">
              <w:t xml:space="preserve">projekta </w:t>
            </w:r>
            <w:r w:rsidR="0025314A">
              <w:t>anotācijas pielikumos:</w:t>
            </w:r>
          </w:p>
          <w:p w14:paraId="7D8B310B" w14:textId="24438080" w:rsidR="0025314A" w:rsidRDefault="004C17D2" w:rsidP="00D13069">
            <w:pPr>
              <w:ind w:right="80" w:firstLine="421"/>
              <w:jc w:val="both"/>
            </w:pPr>
            <w:r w:rsidRPr="00D13069">
              <w:t>1. pielikumā</w:t>
            </w:r>
            <w:r w:rsidR="00D13069" w:rsidRPr="00D13069">
              <w:t xml:space="preserve"> “Informācija par maksas pakalpojumu cenu un plānoto ieņēmumu izmaiņām”</w:t>
            </w:r>
            <w:r w:rsidR="0025314A">
              <w:t>;</w:t>
            </w:r>
          </w:p>
          <w:p w14:paraId="31B93165" w14:textId="77777777" w:rsidR="0025314A" w:rsidRDefault="00F27434" w:rsidP="00D13069">
            <w:pPr>
              <w:ind w:right="80" w:firstLine="421"/>
              <w:jc w:val="both"/>
            </w:pPr>
            <w:r w:rsidRPr="00D13069">
              <w:t>2. </w:t>
            </w:r>
            <w:r w:rsidRPr="00C45D2E">
              <w:t>pielikumā</w:t>
            </w:r>
            <w:r w:rsidR="00C45D2E" w:rsidRPr="00C45D2E">
              <w:t xml:space="preserve"> “Detalizēts ieņēmumu un izdevumu aprēķins”</w:t>
            </w:r>
            <w:r w:rsidR="0025314A">
              <w:t>;</w:t>
            </w:r>
          </w:p>
          <w:p w14:paraId="233AAD08" w14:textId="77777777" w:rsidR="0025314A" w:rsidRDefault="00F27434" w:rsidP="00D13069">
            <w:pPr>
              <w:ind w:right="80" w:firstLine="421"/>
              <w:jc w:val="both"/>
            </w:pPr>
            <w:r w:rsidRPr="00D13069">
              <w:t>3. pielikumā</w:t>
            </w:r>
            <w:r w:rsidR="00D13069" w:rsidRPr="00D13069">
              <w:t xml:space="preserve"> “Maksas pakalpojumu izcenojuma aprēķina kopsavilkums”</w:t>
            </w:r>
            <w:r w:rsidR="0025314A">
              <w:t>;</w:t>
            </w:r>
          </w:p>
          <w:p w14:paraId="6A9BC79F" w14:textId="1D0CD2CA" w:rsidR="00BD5588" w:rsidRPr="00D13069" w:rsidRDefault="00F27434" w:rsidP="00D13069">
            <w:pPr>
              <w:ind w:right="80" w:firstLine="421"/>
              <w:jc w:val="both"/>
            </w:pPr>
            <w:r w:rsidRPr="00D13069">
              <w:t>4</w:t>
            </w:r>
            <w:r w:rsidR="00AF3D05" w:rsidRPr="00D13069">
              <w:t>. pielikumā</w:t>
            </w:r>
            <w:r w:rsidR="00D13069" w:rsidRPr="00D13069">
              <w:t xml:space="preserve"> “Ieņēmumu prognoze no maksas pakalpojumiem”</w:t>
            </w:r>
            <w:r w:rsidR="00984F82" w:rsidRPr="00D13069">
              <w:t>.</w:t>
            </w:r>
          </w:p>
          <w:p w14:paraId="1D302624" w14:textId="0F195027" w:rsidR="001D2813" w:rsidRPr="00214246" w:rsidRDefault="001D2813" w:rsidP="00D13069">
            <w:pPr>
              <w:ind w:firstLine="421"/>
              <w:jc w:val="both"/>
            </w:pPr>
            <w:r w:rsidRPr="00214246">
              <w:rPr>
                <w:color w:val="000000" w:themeColor="text1"/>
              </w:rPr>
              <w:t xml:space="preserve">Ieņēmumi no </w:t>
            </w:r>
            <w:r w:rsidR="00214246" w:rsidRPr="00214246">
              <w:rPr>
                <w:rFonts w:eastAsia="Lucida Sans Unicode"/>
                <w:color w:val="000000" w:themeColor="text1"/>
                <w:kern w:val="1"/>
              </w:rPr>
              <w:t xml:space="preserve">maksas pakalpojumu </w:t>
            </w:r>
            <w:r w:rsidR="00214246" w:rsidRPr="00214246">
              <w:rPr>
                <w:color w:val="000000" w:themeColor="text1"/>
                <w:shd w:val="clear" w:color="auto" w:fill="FFFFFF"/>
              </w:rPr>
              <w:t xml:space="preserve">veida </w:t>
            </w:r>
            <w:r w:rsidR="00214246" w:rsidRPr="00214246">
              <w:rPr>
                <w:color w:val="000000" w:themeColor="text1"/>
              </w:rPr>
              <w:t xml:space="preserve">“Dokumentu tehniskā ekspertīze” </w:t>
            </w:r>
            <w:r w:rsidRPr="00214246">
              <w:rPr>
                <w:color w:val="000000" w:themeColor="text1"/>
              </w:rPr>
              <w:t xml:space="preserve">un ar to sniegšanu saistītie izdevumi tiek plānoti </w:t>
            </w:r>
            <w:r w:rsidR="0032461B" w:rsidRPr="00214246">
              <w:rPr>
                <w:color w:val="000000" w:themeColor="text1"/>
              </w:rPr>
              <w:t xml:space="preserve">Iekšlietu ministrijas </w:t>
            </w:r>
            <w:r w:rsidRPr="00214246">
              <w:rPr>
                <w:color w:val="000000" w:themeColor="text1"/>
              </w:rPr>
              <w:t>budžeta programmā 10.00.00 „Valsts robežsardzes darbība” un tiks izlietoti izdevumu, kas saistīti ar maksas pakalpojumu sniegšanu, segšanai.</w:t>
            </w:r>
          </w:p>
        </w:tc>
      </w:tr>
      <w:tr w:rsidR="00BD5588" w:rsidRPr="00214246" w14:paraId="3B0AA2B7" w14:textId="77777777" w:rsidTr="001028B4">
        <w:tc>
          <w:tcPr>
            <w:tcW w:w="1859" w:type="dxa"/>
            <w:shd w:val="clear" w:color="auto" w:fill="auto"/>
            <w:hideMark/>
          </w:tcPr>
          <w:p w14:paraId="7096AD76" w14:textId="5FE578F7" w:rsidR="00BD5588" w:rsidRPr="00214246" w:rsidRDefault="00BD5588" w:rsidP="00DB5DCA">
            <w:pPr>
              <w:rPr>
                <w:rFonts w:asciiTheme="majorBidi" w:hAnsiTheme="majorBidi" w:cstheme="majorBidi"/>
                <w:lang w:eastAsia="en-US"/>
              </w:rPr>
            </w:pPr>
            <w:r w:rsidRPr="00214246">
              <w:rPr>
                <w:rFonts w:asciiTheme="majorBidi" w:hAnsiTheme="majorBidi" w:cstheme="majorBidi"/>
                <w:lang w:eastAsia="en-US"/>
              </w:rPr>
              <w:t>6.1. detalizēts ieņēmumu aprēķins</w:t>
            </w:r>
          </w:p>
        </w:tc>
        <w:tc>
          <w:tcPr>
            <w:tcW w:w="7177" w:type="dxa"/>
            <w:gridSpan w:val="7"/>
            <w:vMerge/>
            <w:shd w:val="clear" w:color="auto" w:fill="auto"/>
            <w:vAlign w:val="center"/>
            <w:hideMark/>
          </w:tcPr>
          <w:p w14:paraId="5F898D9D" w14:textId="77777777" w:rsidR="00BD5588" w:rsidRPr="00214246" w:rsidRDefault="00BD5588" w:rsidP="00DB5DCA">
            <w:pPr>
              <w:jc w:val="center"/>
              <w:rPr>
                <w:rFonts w:asciiTheme="majorBidi" w:hAnsiTheme="majorBidi" w:cstheme="majorBidi"/>
                <w:lang w:eastAsia="en-US"/>
              </w:rPr>
            </w:pPr>
          </w:p>
        </w:tc>
      </w:tr>
      <w:tr w:rsidR="00BD5588" w:rsidRPr="00214246" w14:paraId="1E6634E7" w14:textId="77777777" w:rsidTr="001028B4">
        <w:tc>
          <w:tcPr>
            <w:tcW w:w="1859" w:type="dxa"/>
            <w:shd w:val="clear" w:color="auto" w:fill="auto"/>
            <w:hideMark/>
          </w:tcPr>
          <w:p w14:paraId="221128CA" w14:textId="77777777" w:rsidR="00BD5588" w:rsidRPr="00214246" w:rsidRDefault="00BD5588" w:rsidP="00DB5DCA">
            <w:pPr>
              <w:rPr>
                <w:rFonts w:asciiTheme="majorBidi" w:hAnsiTheme="majorBidi" w:cstheme="majorBidi"/>
                <w:lang w:eastAsia="en-US"/>
              </w:rPr>
            </w:pPr>
            <w:r w:rsidRPr="00214246">
              <w:rPr>
                <w:rFonts w:asciiTheme="majorBidi" w:hAnsiTheme="majorBidi" w:cstheme="majorBidi"/>
                <w:lang w:eastAsia="en-US"/>
              </w:rPr>
              <w:t>6.2. detalizēts izdevumu aprēķins</w:t>
            </w:r>
          </w:p>
        </w:tc>
        <w:tc>
          <w:tcPr>
            <w:tcW w:w="7177" w:type="dxa"/>
            <w:gridSpan w:val="7"/>
            <w:vMerge/>
            <w:shd w:val="clear" w:color="auto" w:fill="auto"/>
            <w:vAlign w:val="center"/>
            <w:hideMark/>
          </w:tcPr>
          <w:p w14:paraId="07568CDA" w14:textId="77777777" w:rsidR="00BD5588" w:rsidRPr="00214246" w:rsidRDefault="00BD5588" w:rsidP="00DB5DCA">
            <w:pPr>
              <w:jc w:val="center"/>
              <w:rPr>
                <w:rFonts w:asciiTheme="majorBidi" w:hAnsiTheme="majorBidi" w:cstheme="majorBidi"/>
                <w:lang w:eastAsia="en-US"/>
              </w:rPr>
            </w:pPr>
          </w:p>
        </w:tc>
      </w:tr>
      <w:tr w:rsidR="00BD5588" w:rsidRPr="00214246" w14:paraId="39D2A159" w14:textId="77777777" w:rsidTr="001028B4">
        <w:tc>
          <w:tcPr>
            <w:tcW w:w="1859" w:type="dxa"/>
            <w:shd w:val="clear" w:color="auto" w:fill="auto"/>
            <w:hideMark/>
          </w:tcPr>
          <w:p w14:paraId="5208541D" w14:textId="77777777" w:rsidR="00BD5588" w:rsidRPr="00214246" w:rsidRDefault="00BD5588" w:rsidP="00DB5DCA">
            <w:pPr>
              <w:rPr>
                <w:rFonts w:asciiTheme="majorBidi" w:hAnsiTheme="majorBidi" w:cstheme="majorBidi"/>
                <w:lang w:eastAsia="en-US"/>
              </w:rPr>
            </w:pPr>
            <w:r w:rsidRPr="00214246">
              <w:rPr>
                <w:rFonts w:asciiTheme="majorBidi" w:hAnsiTheme="majorBidi" w:cstheme="majorBidi"/>
                <w:lang w:eastAsia="en-US"/>
              </w:rPr>
              <w:lastRenderedPageBreak/>
              <w:t>7. Amata vietu skaita izmaiņas</w:t>
            </w:r>
          </w:p>
        </w:tc>
        <w:tc>
          <w:tcPr>
            <w:tcW w:w="7177" w:type="dxa"/>
            <w:gridSpan w:val="7"/>
            <w:shd w:val="clear" w:color="auto" w:fill="auto"/>
            <w:hideMark/>
          </w:tcPr>
          <w:p w14:paraId="248FC057" w14:textId="77777777" w:rsidR="00BD5588" w:rsidRPr="00214246" w:rsidRDefault="004C0770" w:rsidP="00DB5DCA">
            <w:pPr>
              <w:rPr>
                <w:rFonts w:asciiTheme="majorBidi" w:hAnsiTheme="majorBidi" w:cstheme="majorBidi"/>
                <w:lang w:eastAsia="en-US"/>
              </w:rPr>
            </w:pPr>
            <w:r w:rsidRPr="00214246">
              <w:rPr>
                <w:rFonts w:asciiTheme="majorBidi" w:hAnsiTheme="majorBidi" w:cstheme="majorBidi"/>
              </w:rPr>
              <w:t>Projekts šo jomu neskar</w:t>
            </w:r>
            <w:r w:rsidR="00136611" w:rsidRPr="00214246">
              <w:rPr>
                <w:rFonts w:asciiTheme="majorBidi" w:hAnsiTheme="majorBidi" w:cstheme="majorBidi"/>
              </w:rPr>
              <w:t>.</w:t>
            </w:r>
          </w:p>
        </w:tc>
      </w:tr>
      <w:tr w:rsidR="00BD5588" w:rsidRPr="00214246" w14:paraId="3998B726" w14:textId="77777777" w:rsidTr="001028B4">
        <w:tc>
          <w:tcPr>
            <w:tcW w:w="1859" w:type="dxa"/>
            <w:shd w:val="clear" w:color="auto" w:fill="auto"/>
            <w:hideMark/>
          </w:tcPr>
          <w:p w14:paraId="6084A1B5" w14:textId="77777777" w:rsidR="00BD5588" w:rsidRPr="00214246" w:rsidRDefault="00BD5588" w:rsidP="00DB5DCA">
            <w:pPr>
              <w:rPr>
                <w:rFonts w:asciiTheme="majorBidi" w:hAnsiTheme="majorBidi" w:cstheme="majorBidi"/>
                <w:lang w:eastAsia="en-US"/>
              </w:rPr>
            </w:pPr>
            <w:r w:rsidRPr="00214246">
              <w:rPr>
                <w:rFonts w:asciiTheme="majorBidi" w:hAnsiTheme="majorBidi" w:cstheme="majorBidi"/>
                <w:lang w:eastAsia="en-US"/>
              </w:rPr>
              <w:t>8. Cita informācija</w:t>
            </w:r>
          </w:p>
        </w:tc>
        <w:tc>
          <w:tcPr>
            <w:tcW w:w="7177" w:type="dxa"/>
            <w:gridSpan w:val="7"/>
            <w:shd w:val="clear" w:color="auto" w:fill="auto"/>
            <w:hideMark/>
          </w:tcPr>
          <w:p w14:paraId="5B3C7671" w14:textId="77777777" w:rsidR="00BD5588" w:rsidRPr="00214246" w:rsidRDefault="00DB5D1C" w:rsidP="00DB5DCA">
            <w:pPr>
              <w:jc w:val="both"/>
              <w:rPr>
                <w:rFonts w:asciiTheme="majorBidi" w:hAnsiTheme="majorBidi" w:cstheme="majorBidi"/>
                <w:lang w:eastAsia="en-US"/>
              </w:rPr>
            </w:pPr>
            <w:r w:rsidRPr="00214246">
              <w:rPr>
                <w:rFonts w:asciiTheme="majorBidi" w:hAnsiTheme="majorBidi" w:cstheme="majorBidi"/>
                <w:lang w:eastAsia="en-US"/>
              </w:rPr>
              <w:t>Nav.</w:t>
            </w:r>
          </w:p>
        </w:tc>
      </w:tr>
    </w:tbl>
    <w:p w14:paraId="4C108696" w14:textId="77777777" w:rsidR="00CF611F" w:rsidRPr="00214246" w:rsidRDefault="00CF611F" w:rsidP="00F61630">
      <w:pPr>
        <w:pStyle w:val="Title"/>
        <w:spacing w:before="130"/>
        <w:jc w:val="both"/>
        <w:rPr>
          <w:rFonts w:asciiTheme="majorBidi" w:hAnsiTheme="majorBidi" w:cstheme="majorBid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F61630" w:rsidRPr="00214246" w14:paraId="437CC8D4" w14:textId="77777777" w:rsidTr="003C1725">
        <w:trPr>
          <w:cantSplit/>
        </w:trPr>
        <w:tc>
          <w:tcPr>
            <w:tcW w:w="5000" w:type="pct"/>
            <w:vAlign w:val="center"/>
            <w:hideMark/>
          </w:tcPr>
          <w:p w14:paraId="41D5D5ED" w14:textId="3A22571B" w:rsidR="00F61630" w:rsidRPr="00214246" w:rsidRDefault="00F61630" w:rsidP="00F61630">
            <w:pPr>
              <w:jc w:val="center"/>
              <w:rPr>
                <w:rFonts w:asciiTheme="majorBidi" w:hAnsiTheme="majorBidi" w:cstheme="majorBidi"/>
                <w:b/>
                <w:bCs/>
              </w:rPr>
            </w:pPr>
            <w:r w:rsidRPr="00214246">
              <w:rPr>
                <w:rFonts w:asciiTheme="majorBidi" w:hAnsiTheme="majorBidi" w:cstheme="majorBidi"/>
                <w:b/>
                <w:bCs/>
              </w:rPr>
              <w:t>IV. Tiesību akta projekta ietekme uz spēkā esošo tiesību normu sistēmu</w:t>
            </w:r>
          </w:p>
        </w:tc>
      </w:tr>
      <w:tr w:rsidR="00F61630" w:rsidRPr="00214246" w14:paraId="6D1C40E0" w14:textId="77777777" w:rsidTr="003C1725">
        <w:trPr>
          <w:cantSplit/>
        </w:trPr>
        <w:tc>
          <w:tcPr>
            <w:tcW w:w="5000" w:type="pct"/>
            <w:vAlign w:val="center"/>
          </w:tcPr>
          <w:p w14:paraId="25313DCA" w14:textId="77777777" w:rsidR="00F61630" w:rsidRPr="00214246" w:rsidRDefault="00F61630" w:rsidP="003C1725">
            <w:pPr>
              <w:jc w:val="center"/>
              <w:rPr>
                <w:rFonts w:asciiTheme="majorBidi" w:hAnsiTheme="majorBidi" w:cstheme="majorBidi"/>
                <w:bCs/>
              </w:rPr>
            </w:pPr>
            <w:r w:rsidRPr="00214246">
              <w:rPr>
                <w:rFonts w:asciiTheme="majorBidi" w:hAnsiTheme="majorBidi" w:cstheme="majorBidi"/>
                <w:bCs/>
              </w:rPr>
              <w:t>Projekts šo jomu neskar.</w:t>
            </w:r>
          </w:p>
        </w:tc>
      </w:tr>
    </w:tbl>
    <w:p w14:paraId="31080A6D" w14:textId="77777777" w:rsidR="00CF611F" w:rsidRPr="00214246" w:rsidRDefault="00CF611F" w:rsidP="00F61630">
      <w:pPr>
        <w:pStyle w:val="Title"/>
        <w:spacing w:before="130"/>
        <w:jc w:val="both"/>
        <w:rPr>
          <w:rFonts w:asciiTheme="majorBidi" w:hAnsiTheme="majorBidi" w:cstheme="majorBid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BD5588" w:rsidRPr="00214246" w14:paraId="46AE05BD" w14:textId="77777777" w:rsidTr="00F660BF">
        <w:trPr>
          <w:cantSplit/>
        </w:trPr>
        <w:tc>
          <w:tcPr>
            <w:tcW w:w="5000" w:type="pct"/>
            <w:vAlign w:val="center"/>
            <w:hideMark/>
          </w:tcPr>
          <w:p w14:paraId="73560941" w14:textId="77777777" w:rsidR="00BD5588" w:rsidRPr="00214246" w:rsidRDefault="00BD5588" w:rsidP="00DB5DCA">
            <w:pPr>
              <w:jc w:val="center"/>
              <w:rPr>
                <w:rFonts w:asciiTheme="majorBidi" w:hAnsiTheme="majorBidi" w:cstheme="majorBidi"/>
                <w:b/>
                <w:bCs/>
              </w:rPr>
            </w:pPr>
            <w:r w:rsidRPr="00214246">
              <w:rPr>
                <w:rFonts w:asciiTheme="majorBidi" w:hAnsiTheme="majorBidi" w:cstheme="majorBidi"/>
                <w:b/>
                <w:bCs/>
              </w:rPr>
              <w:t>V. Tiesību akta projekta atbilstība Latvijas Republikas starptautiskajām saistībām</w:t>
            </w:r>
          </w:p>
        </w:tc>
      </w:tr>
      <w:tr w:rsidR="004C0770" w:rsidRPr="00214246" w14:paraId="4837F173" w14:textId="77777777" w:rsidTr="00F660BF">
        <w:trPr>
          <w:cantSplit/>
        </w:trPr>
        <w:tc>
          <w:tcPr>
            <w:tcW w:w="5000" w:type="pct"/>
            <w:vAlign w:val="center"/>
          </w:tcPr>
          <w:p w14:paraId="1D1EF8B5" w14:textId="77777777" w:rsidR="004C0770" w:rsidRPr="00214246" w:rsidRDefault="004C0770" w:rsidP="00DB5DCA">
            <w:pPr>
              <w:jc w:val="center"/>
              <w:rPr>
                <w:rFonts w:asciiTheme="majorBidi" w:hAnsiTheme="majorBidi" w:cstheme="majorBidi"/>
                <w:bCs/>
              </w:rPr>
            </w:pPr>
            <w:r w:rsidRPr="00214246">
              <w:rPr>
                <w:rFonts w:asciiTheme="majorBidi" w:hAnsiTheme="majorBidi" w:cstheme="majorBidi"/>
                <w:bCs/>
              </w:rPr>
              <w:t>Projekts šo jomu neskar</w:t>
            </w:r>
            <w:r w:rsidR="00136611" w:rsidRPr="00214246">
              <w:rPr>
                <w:rFonts w:asciiTheme="majorBidi" w:hAnsiTheme="majorBidi" w:cstheme="majorBidi"/>
                <w:bCs/>
              </w:rPr>
              <w:t>.</w:t>
            </w:r>
          </w:p>
        </w:tc>
      </w:tr>
    </w:tbl>
    <w:p w14:paraId="1C84BA96" w14:textId="77777777" w:rsidR="00CF611F" w:rsidRPr="00214246" w:rsidRDefault="00CF611F" w:rsidP="007F16C1">
      <w:pPr>
        <w:pStyle w:val="Title"/>
        <w:spacing w:before="130"/>
        <w:jc w:val="both"/>
        <w:rPr>
          <w:rFonts w:asciiTheme="majorBidi" w:hAnsiTheme="majorBidi" w:cstheme="majorBid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214246" w14:paraId="2669EC95" w14:textId="77777777" w:rsidTr="00F660BF">
        <w:trPr>
          <w:cantSplit/>
        </w:trPr>
        <w:tc>
          <w:tcPr>
            <w:tcW w:w="5000" w:type="pct"/>
            <w:gridSpan w:val="3"/>
            <w:vAlign w:val="center"/>
            <w:hideMark/>
          </w:tcPr>
          <w:p w14:paraId="3B402220" w14:textId="77777777" w:rsidR="00BD5588" w:rsidRPr="00214246" w:rsidRDefault="00BD5588" w:rsidP="00DB5DCA">
            <w:pPr>
              <w:jc w:val="center"/>
              <w:rPr>
                <w:rFonts w:asciiTheme="majorBidi" w:hAnsiTheme="majorBidi" w:cstheme="majorBidi"/>
                <w:b/>
                <w:bCs/>
              </w:rPr>
            </w:pPr>
            <w:r w:rsidRPr="00214246">
              <w:rPr>
                <w:rFonts w:asciiTheme="majorBidi" w:hAnsiTheme="majorBidi" w:cstheme="majorBidi"/>
                <w:b/>
                <w:bCs/>
              </w:rPr>
              <w:t>VI. Sabiedrības līdzdalība un komunikācijas aktivitātes</w:t>
            </w:r>
          </w:p>
        </w:tc>
      </w:tr>
      <w:tr w:rsidR="00BD5588" w:rsidRPr="00214246" w14:paraId="6EB2BEDC" w14:textId="77777777" w:rsidTr="00F660BF">
        <w:trPr>
          <w:cantSplit/>
        </w:trPr>
        <w:tc>
          <w:tcPr>
            <w:tcW w:w="311" w:type="pct"/>
            <w:hideMark/>
          </w:tcPr>
          <w:p w14:paraId="48A5EA7E" w14:textId="77777777" w:rsidR="00BD5588" w:rsidRPr="00214246" w:rsidRDefault="00BD5588" w:rsidP="00DB5DCA">
            <w:pPr>
              <w:jc w:val="center"/>
              <w:rPr>
                <w:rFonts w:asciiTheme="majorBidi" w:hAnsiTheme="majorBidi" w:cstheme="majorBidi"/>
              </w:rPr>
            </w:pPr>
            <w:r w:rsidRPr="00214246">
              <w:rPr>
                <w:rFonts w:asciiTheme="majorBidi" w:hAnsiTheme="majorBidi" w:cstheme="majorBidi"/>
              </w:rPr>
              <w:t>1.</w:t>
            </w:r>
          </w:p>
        </w:tc>
        <w:tc>
          <w:tcPr>
            <w:tcW w:w="1479" w:type="pct"/>
            <w:hideMark/>
          </w:tcPr>
          <w:p w14:paraId="2021BFDD" w14:textId="77777777" w:rsidR="00BD5588" w:rsidRPr="00214246" w:rsidRDefault="00BD5588" w:rsidP="00DB5DCA">
            <w:pPr>
              <w:rPr>
                <w:rFonts w:asciiTheme="majorBidi" w:hAnsiTheme="majorBidi" w:cstheme="majorBidi"/>
              </w:rPr>
            </w:pPr>
            <w:r w:rsidRPr="00214246">
              <w:rPr>
                <w:rFonts w:asciiTheme="majorBidi" w:hAnsiTheme="majorBidi" w:cstheme="majorBidi"/>
              </w:rPr>
              <w:t>Plānotās sabiedrības līdzdalības un komunikācijas aktivitātes saistībā ar projektu</w:t>
            </w:r>
          </w:p>
        </w:tc>
        <w:tc>
          <w:tcPr>
            <w:tcW w:w="3210" w:type="pct"/>
            <w:hideMark/>
          </w:tcPr>
          <w:p w14:paraId="49CA3DD4" w14:textId="1A5951AD" w:rsidR="00BD5588" w:rsidRPr="00214246" w:rsidRDefault="00842981" w:rsidP="00DB5DCA">
            <w:pPr>
              <w:ind w:firstLine="275"/>
              <w:jc w:val="both"/>
              <w:rPr>
                <w:rFonts w:asciiTheme="majorBidi" w:hAnsiTheme="majorBidi" w:cstheme="majorBidi"/>
                <w:highlight w:val="green"/>
              </w:rPr>
            </w:pPr>
            <w:r w:rsidRPr="00214246">
              <w:rPr>
                <w:rFonts w:asciiTheme="majorBidi" w:hAnsiTheme="majorBidi" w:cstheme="majorBidi"/>
              </w:rPr>
              <w:t>Atbilstoši Ministru kabineta 2009.</w:t>
            </w:r>
            <w:r w:rsidR="00B264A9" w:rsidRPr="00214246">
              <w:rPr>
                <w:rFonts w:asciiTheme="majorBidi" w:hAnsiTheme="majorBidi" w:cstheme="majorBidi"/>
              </w:rPr>
              <w:t xml:space="preserve"> </w:t>
            </w:r>
            <w:r w:rsidRPr="00214246">
              <w:rPr>
                <w:rFonts w:asciiTheme="majorBidi" w:hAnsiTheme="majorBidi" w:cstheme="majorBidi"/>
              </w:rPr>
              <w:t>gada 25.</w:t>
            </w:r>
            <w:r w:rsidR="00B264A9" w:rsidRPr="00214246">
              <w:rPr>
                <w:rFonts w:asciiTheme="majorBidi" w:hAnsiTheme="majorBidi" w:cstheme="majorBidi"/>
              </w:rPr>
              <w:t xml:space="preserve"> </w:t>
            </w:r>
            <w:r w:rsidRPr="00214246">
              <w:rPr>
                <w:rFonts w:asciiTheme="majorBidi" w:hAnsiTheme="majorBidi" w:cstheme="majorBidi"/>
              </w:rPr>
              <w:t>augusta noteikumu Nr.</w:t>
            </w:r>
            <w:r w:rsidR="00B264A9" w:rsidRPr="00214246">
              <w:rPr>
                <w:rFonts w:asciiTheme="majorBidi" w:hAnsiTheme="majorBidi" w:cstheme="majorBidi"/>
              </w:rPr>
              <w:t xml:space="preserve"> </w:t>
            </w:r>
            <w:r w:rsidRPr="00214246">
              <w:rPr>
                <w:rFonts w:asciiTheme="majorBidi" w:hAnsiTheme="majorBidi" w:cstheme="majorBidi"/>
              </w:rPr>
              <w:t>970 “Sabiedrības līdzdalības kārtība attīstības plānošanas procesā” 7.4.</w:t>
            </w:r>
            <w:r w:rsidRPr="00214246">
              <w:rPr>
                <w:rFonts w:asciiTheme="majorBidi" w:hAnsiTheme="majorBidi" w:cstheme="majorBidi"/>
                <w:vertAlign w:val="superscript"/>
              </w:rPr>
              <w:t>1</w:t>
            </w:r>
            <w:r w:rsidRPr="00214246">
              <w:rPr>
                <w:rFonts w:asciiTheme="majorBidi" w:hAnsiTheme="majorBidi" w:cstheme="majorBidi"/>
              </w:rPr>
              <w:t xml:space="preserve"> apakšpunktam sabiedrībai tiks dota iespēja rakstiski sniegt viedokli par projektu tā izstrādes stadijā (pēc projekta saskaņošanas ar Iekšlietu ministriju).</w:t>
            </w:r>
          </w:p>
        </w:tc>
      </w:tr>
      <w:tr w:rsidR="00BD5588" w:rsidRPr="00214246" w14:paraId="20BA7525" w14:textId="77777777" w:rsidTr="00F660BF">
        <w:trPr>
          <w:cantSplit/>
        </w:trPr>
        <w:tc>
          <w:tcPr>
            <w:tcW w:w="311" w:type="pct"/>
            <w:hideMark/>
          </w:tcPr>
          <w:p w14:paraId="5A50FDC0" w14:textId="77777777" w:rsidR="00BD5588" w:rsidRPr="00214246" w:rsidRDefault="00BD5588" w:rsidP="00DB5DCA">
            <w:pPr>
              <w:jc w:val="center"/>
              <w:rPr>
                <w:rFonts w:asciiTheme="majorBidi" w:hAnsiTheme="majorBidi" w:cstheme="majorBidi"/>
              </w:rPr>
            </w:pPr>
            <w:r w:rsidRPr="00214246">
              <w:rPr>
                <w:rFonts w:asciiTheme="majorBidi" w:hAnsiTheme="majorBidi" w:cstheme="majorBidi"/>
              </w:rPr>
              <w:t>2.</w:t>
            </w:r>
          </w:p>
        </w:tc>
        <w:tc>
          <w:tcPr>
            <w:tcW w:w="1479" w:type="pct"/>
            <w:hideMark/>
          </w:tcPr>
          <w:p w14:paraId="70238417" w14:textId="77777777" w:rsidR="00BD5588" w:rsidRPr="00214246" w:rsidRDefault="00BD5588" w:rsidP="00DB5DCA">
            <w:pPr>
              <w:rPr>
                <w:rFonts w:asciiTheme="majorBidi" w:hAnsiTheme="majorBidi" w:cstheme="majorBidi"/>
              </w:rPr>
            </w:pPr>
            <w:r w:rsidRPr="00214246">
              <w:rPr>
                <w:rFonts w:asciiTheme="majorBidi" w:hAnsiTheme="majorBidi" w:cstheme="majorBidi"/>
              </w:rPr>
              <w:t>Sabiedrības līdzdalība projekta izstrādē</w:t>
            </w:r>
          </w:p>
        </w:tc>
        <w:tc>
          <w:tcPr>
            <w:tcW w:w="3210" w:type="pct"/>
            <w:hideMark/>
          </w:tcPr>
          <w:p w14:paraId="1D8F624A" w14:textId="4EDE8F23" w:rsidR="00BD5588" w:rsidRPr="00214246" w:rsidRDefault="00842981" w:rsidP="00CA3610">
            <w:pPr>
              <w:pStyle w:val="NoSpacing"/>
              <w:ind w:firstLine="265"/>
              <w:jc w:val="both"/>
              <w:rPr>
                <w:rFonts w:asciiTheme="majorBidi" w:hAnsiTheme="majorBidi" w:cstheme="majorBidi"/>
              </w:rPr>
            </w:pPr>
            <w:r w:rsidRPr="00214246">
              <w:rPr>
                <w:rFonts w:asciiTheme="majorBidi" w:hAnsiTheme="majorBidi" w:cstheme="majorBidi"/>
              </w:rPr>
              <w:t>Par noteikumu projekta izstrādi t</w:t>
            </w:r>
            <w:r w:rsidR="00C53403">
              <w:rPr>
                <w:rFonts w:asciiTheme="majorBidi" w:hAnsiTheme="majorBidi" w:cstheme="majorBidi"/>
              </w:rPr>
              <w:t>iek</w:t>
            </w:r>
            <w:r w:rsidRPr="00214246">
              <w:rPr>
                <w:rFonts w:asciiTheme="majorBidi" w:hAnsiTheme="majorBidi" w:cstheme="majorBidi"/>
              </w:rPr>
              <w:t xml:space="preserve"> informēti sabiedrības pārstāvji, ievietojot paziņojumu par līdzdalības iespējām tiesību akta izstrādes procesā Iekšlietu</w:t>
            </w:r>
            <w:r w:rsidR="0017235B">
              <w:rPr>
                <w:rFonts w:asciiTheme="majorBidi" w:hAnsiTheme="majorBidi" w:cstheme="majorBidi"/>
              </w:rPr>
              <w:t xml:space="preserve"> ministrijas tīmekļa vietnē 2020</w:t>
            </w:r>
            <w:r w:rsidRPr="00214246">
              <w:rPr>
                <w:rFonts w:asciiTheme="majorBidi" w:hAnsiTheme="majorBidi" w:cstheme="majorBidi"/>
              </w:rPr>
              <w:t xml:space="preserve">. gada </w:t>
            </w:r>
            <w:r w:rsidR="00CA3610">
              <w:rPr>
                <w:rFonts w:asciiTheme="majorBidi" w:hAnsiTheme="majorBidi" w:cstheme="majorBidi"/>
              </w:rPr>
              <w:t>12</w:t>
            </w:r>
            <w:bookmarkStart w:id="0" w:name="_GoBack"/>
            <w:bookmarkEnd w:id="0"/>
            <w:r w:rsidR="00352212">
              <w:rPr>
                <w:rFonts w:asciiTheme="majorBidi" w:hAnsiTheme="majorBidi" w:cstheme="majorBidi"/>
              </w:rPr>
              <w:t>.</w:t>
            </w:r>
            <w:r w:rsidR="009A715E">
              <w:rPr>
                <w:rFonts w:asciiTheme="majorBidi" w:hAnsiTheme="majorBidi" w:cstheme="majorBidi"/>
              </w:rPr>
              <w:t xml:space="preserve"> maijā</w:t>
            </w:r>
            <w:r w:rsidRPr="00214246">
              <w:rPr>
                <w:rFonts w:asciiTheme="majorBidi" w:hAnsiTheme="majorBidi" w:cstheme="majorBidi"/>
              </w:rPr>
              <w:t>: (</w:t>
            </w:r>
            <w:hyperlink r:id="rId8" w:history="1">
              <w:r w:rsidR="00C53403">
                <w:rPr>
                  <w:rStyle w:val="Hyperlink"/>
                </w:rPr>
                <w:t>http://www.iem.gov.lv/lat/sadarbiba_ar_nvo/</w:t>
              </w:r>
            </w:hyperlink>
            <w:r w:rsidRPr="00214246">
              <w:rPr>
                <w:rFonts w:asciiTheme="majorBidi" w:hAnsiTheme="majorBidi" w:cstheme="majorBidi"/>
              </w:rPr>
              <w:t>)</w:t>
            </w:r>
          </w:p>
        </w:tc>
      </w:tr>
      <w:tr w:rsidR="00BD5588" w:rsidRPr="00214246" w14:paraId="7D1DB475" w14:textId="77777777" w:rsidTr="00F660BF">
        <w:trPr>
          <w:cantSplit/>
        </w:trPr>
        <w:tc>
          <w:tcPr>
            <w:tcW w:w="311" w:type="pct"/>
            <w:hideMark/>
          </w:tcPr>
          <w:p w14:paraId="2C2CD220" w14:textId="77777777" w:rsidR="00BD5588" w:rsidRPr="00214246" w:rsidRDefault="00BD5588" w:rsidP="00DB5DCA">
            <w:pPr>
              <w:jc w:val="center"/>
              <w:rPr>
                <w:rFonts w:asciiTheme="majorBidi" w:hAnsiTheme="majorBidi" w:cstheme="majorBidi"/>
              </w:rPr>
            </w:pPr>
            <w:r w:rsidRPr="00214246">
              <w:rPr>
                <w:rFonts w:asciiTheme="majorBidi" w:hAnsiTheme="majorBidi" w:cstheme="majorBidi"/>
              </w:rPr>
              <w:t>3.</w:t>
            </w:r>
          </w:p>
        </w:tc>
        <w:tc>
          <w:tcPr>
            <w:tcW w:w="1479" w:type="pct"/>
            <w:hideMark/>
          </w:tcPr>
          <w:p w14:paraId="4E85EC9E" w14:textId="77777777" w:rsidR="00BD5588" w:rsidRPr="00214246" w:rsidRDefault="00BD5588" w:rsidP="00DB5DCA">
            <w:pPr>
              <w:rPr>
                <w:rFonts w:asciiTheme="majorBidi" w:hAnsiTheme="majorBidi" w:cstheme="majorBidi"/>
              </w:rPr>
            </w:pPr>
            <w:r w:rsidRPr="00214246">
              <w:rPr>
                <w:rFonts w:asciiTheme="majorBidi" w:hAnsiTheme="majorBidi" w:cstheme="majorBidi"/>
              </w:rPr>
              <w:t>Sabiedrības līdzdalības rezultāti</w:t>
            </w:r>
          </w:p>
        </w:tc>
        <w:tc>
          <w:tcPr>
            <w:tcW w:w="3210" w:type="pct"/>
            <w:hideMark/>
          </w:tcPr>
          <w:p w14:paraId="02D33ED2" w14:textId="1114D5DB" w:rsidR="00BD5588" w:rsidRPr="00214246" w:rsidRDefault="00842981" w:rsidP="00842981">
            <w:pPr>
              <w:jc w:val="both"/>
              <w:rPr>
                <w:rFonts w:asciiTheme="majorBidi" w:hAnsiTheme="majorBidi" w:cstheme="majorBidi"/>
                <w:highlight w:val="green"/>
              </w:rPr>
            </w:pPr>
            <w:r w:rsidRPr="00214246">
              <w:rPr>
                <w:rFonts w:asciiTheme="majorBidi" w:hAnsiTheme="majorBidi" w:cstheme="majorBidi"/>
              </w:rPr>
              <w:t>Iebildumi un priekšlikumi nav saņemti.</w:t>
            </w:r>
          </w:p>
        </w:tc>
      </w:tr>
      <w:tr w:rsidR="00BD5588" w:rsidRPr="00214246" w14:paraId="4DF0DB44" w14:textId="77777777" w:rsidTr="00F660BF">
        <w:trPr>
          <w:cantSplit/>
        </w:trPr>
        <w:tc>
          <w:tcPr>
            <w:tcW w:w="311" w:type="pct"/>
            <w:hideMark/>
          </w:tcPr>
          <w:p w14:paraId="77A0F938" w14:textId="77777777" w:rsidR="00BD5588" w:rsidRPr="00214246" w:rsidRDefault="00BD5588" w:rsidP="00DB5DCA">
            <w:pPr>
              <w:jc w:val="center"/>
              <w:rPr>
                <w:rFonts w:asciiTheme="majorBidi" w:hAnsiTheme="majorBidi" w:cstheme="majorBidi"/>
              </w:rPr>
            </w:pPr>
            <w:r w:rsidRPr="00214246">
              <w:rPr>
                <w:rFonts w:asciiTheme="majorBidi" w:hAnsiTheme="majorBidi" w:cstheme="majorBidi"/>
              </w:rPr>
              <w:t>4.</w:t>
            </w:r>
          </w:p>
        </w:tc>
        <w:tc>
          <w:tcPr>
            <w:tcW w:w="1479" w:type="pct"/>
            <w:hideMark/>
          </w:tcPr>
          <w:p w14:paraId="7585CEE7" w14:textId="77777777" w:rsidR="00BD5588" w:rsidRPr="00214246" w:rsidRDefault="00BD5588" w:rsidP="00DB5DCA">
            <w:pPr>
              <w:rPr>
                <w:rFonts w:asciiTheme="majorBidi" w:hAnsiTheme="majorBidi" w:cstheme="majorBidi"/>
              </w:rPr>
            </w:pPr>
            <w:r w:rsidRPr="00214246">
              <w:rPr>
                <w:rFonts w:asciiTheme="majorBidi" w:hAnsiTheme="majorBidi" w:cstheme="majorBidi"/>
              </w:rPr>
              <w:t>Cita informācija</w:t>
            </w:r>
          </w:p>
        </w:tc>
        <w:tc>
          <w:tcPr>
            <w:tcW w:w="3210" w:type="pct"/>
            <w:hideMark/>
          </w:tcPr>
          <w:p w14:paraId="295F73F9" w14:textId="77777777" w:rsidR="00BD5588" w:rsidRPr="00214246" w:rsidRDefault="004C0770" w:rsidP="00DB5DCA">
            <w:pPr>
              <w:rPr>
                <w:rFonts w:asciiTheme="majorBidi" w:hAnsiTheme="majorBidi" w:cstheme="majorBidi"/>
              </w:rPr>
            </w:pPr>
            <w:r w:rsidRPr="00214246">
              <w:rPr>
                <w:rFonts w:asciiTheme="majorBidi" w:hAnsiTheme="majorBidi" w:cstheme="majorBidi"/>
              </w:rPr>
              <w:t>Nav</w:t>
            </w:r>
            <w:r w:rsidR="00136611" w:rsidRPr="00214246">
              <w:rPr>
                <w:rFonts w:asciiTheme="majorBidi" w:hAnsiTheme="majorBidi" w:cstheme="majorBidi"/>
              </w:rPr>
              <w:t>.</w:t>
            </w:r>
          </w:p>
        </w:tc>
      </w:tr>
    </w:tbl>
    <w:p w14:paraId="2C18A84E" w14:textId="77777777" w:rsidR="00BD5588" w:rsidRPr="00214246" w:rsidRDefault="00BD5588" w:rsidP="00DB5DCA">
      <w:pPr>
        <w:pStyle w:val="Title"/>
        <w:spacing w:before="130"/>
        <w:ind w:firstLine="539"/>
        <w:jc w:val="both"/>
        <w:rPr>
          <w:rFonts w:asciiTheme="majorBidi" w:hAnsiTheme="majorBidi" w:cstheme="majorBid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BD5588" w:rsidRPr="00214246" w14:paraId="40653679" w14:textId="77777777" w:rsidTr="00F660BF">
        <w:trPr>
          <w:cantSplit/>
        </w:trPr>
        <w:tc>
          <w:tcPr>
            <w:tcW w:w="5000" w:type="pct"/>
            <w:gridSpan w:val="3"/>
            <w:vAlign w:val="center"/>
            <w:hideMark/>
          </w:tcPr>
          <w:p w14:paraId="48FD81B1" w14:textId="77777777" w:rsidR="00BD5588" w:rsidRPr="00214246" w:rsidRDefault="00BD5588" w:rsidP="00DB5DCA">
            <w:pPr>
              <w:jc w:val="center"/>
              <w:rPr>
                <w:rFonts w:asciiTheme="majorBidi" w:hAnsiTheme="majorBidi" w:cstheme="majorBidi"/>
                <w:b/>
                <w:bCs/>
              </w:rPr>
            </w:pPr>
            <w:r w:rsidRPr="00214246">
              <w:rPr>
                <w:rFonts w:asciiTheme="majorBidi" w:hAnsiTheme="majorBidi" w:cstheme="majorBidi"/>
                <w:b/>
                <w:bCs/>
              </w:rPr>
              <w:t>VII. Tiesību akta projekta izpildes nodrošināšana un tās ietekme uz institūcijām</w:t>
            </w:r>
          </w:p>
        </w:tc>
      </w:tr>
      <w:tr w:rsidR="00BD5588" w:rsidRPr="00214246" w14:paraId="3729D540" w14:textId="77777777" w:rsidTr="008E7EE9">
        <w:trPr>
          <w:cantSplit/>
        </w:trPr>
        <w:tc>
          <w:tcPr>
            <w:tcW w:w="311" w:type="pct"/>
            <w:hideMark/>
          </w:tcPr>
          <w:p w14:paraId="05E78B44" w14:textId="77777777" w:rsidR="00BD5588" w:rsidRPr="00214246" w:rsidRDefault="00BD5588" w:rsidP="00DB5DCA">
            <w:pPr>
              <w:jc w:val="center"/>
              <w:rPr>
                <w:rFonts w:asciiTheme="majorBidi" w:hAnsiTheme="majorBidi" w:cstheme="majorBidi"/>
              </w:rPr>
            </w:pPr>
            <w:r w:rsidRPr="00214246">
              <w:rPr>
                <w:rFonts w:asciiTheme="majorBidi" w:hAnsiTheme="majorBidi" w:cstheme="majorBidi"/>
              </w:rPr>
              <w:t>1.</w:t>
            </w:r>
          </w:p>
        </w:tc>
        <w:tc>
          <w:tcPr>
            <w:tcW w:w="1479" w:type="pct"/>
            <w:hideMark/>
          </w:tcPr>
          <w:p w14:paraId="1ED651DF" w14:textId="77777777" w:rsidR="00BD5588" w:rsidRPr="00214246" w:rsidRDefault="00BD5588" w:rsidP="00DB5DCA">
            <w:pPr>
              <w:rPr>
                <w:rFonts w:asciiTheme="majorBidi" w:hAnsiTheme="majorBidi" w:cstheme="majorBidi"/>
              </w:rPr>
            </w:pPr>
            <w:r w:rsidRPr="00214246">
              <w:rPr>
                <w:rFonts w:asciiTheme="majorBidi" w:hAnsiTheme="majorBidi" w:cstheme="majorBidi"/>
              </w:rPr>
              <w:t>Projekta izpildē iesaistītās institūcijas</w:t>
            </w:r>
          </w:p>
        </w:tc>
        <w:tc>
          <w:tcPr>
            <w:tcW w:w="3210" w:type="pct"/>
            <w:hideMark/>
          </w:tcPr>
          <w:p w14:paraId="1F0FAB42" w14:textId="77777777" w:rsidR="00BD5588" w:rsidRPr="00214246" w:rsidRDefault="00056C3E" w:rsidP="0005557C">
            <w:pPr>
              <w:rPr>
                <w:rFonts w:asciiTheme="majorBidi" w:hAnsiTheme="majorBidi" w:cstheme="majorBidi"/>
              </w:rPr>
            </w:pPr>
            <w:r w:rsidRPr="00214246">
              <w:rPr>
                <w:rFonts w:asciiTheme="majorBidi" w:hAnsiTheme="majorBidi" w:cstheme="majorBidi"/>
              </w:rPr>
              <w:t>Valsts robežsardze</w:t>
            </w:r>
            <w:r w:rsidR="00136611" w:rsidRPr="00214246">
              <w:rPr>
                <w:rFonts w:asciiTheme="majorBidi" w:hAnsiTheme="majorBidi" w:cstheme="majorBidi"/>
              </w:rPr>
              <w:t>.</w:t>
            </w:r>
          </w:p>
        </w:tc>
      </w:tr>
      <w:tr w:rsidR="00BD5588" w:rsidRPr="00214246" w14:paraId="56F7BC2D" w14:textId="77777777" w:rsidTr="008E7EE9">
        <w:trPr>
          <w:cantSplit/>
        </w:trPr>
        <w:tc>
          <w:tcPr>
            <w:tcW w:w="311" w:type="pct"/>
            <w:hideMark/>
          </w:tcPr>
          <w:p w14:paraId="5AE6BCA9" w14:textId="77777777" w:rsidR="00BD5588" w:rsidRPr="00214246" w:rsidRDefault="00BD5588" w:rsidP="00DB5DCA">
            <w:pPr>
              <w:jc w:val="center"/>
              <w:rPr>
                <w:rFonts w:asciiTheme="majorBidi" w:hAnsiTheme="majorBidi" w:cstheme="majorBidi"/>
              </w:rPr>
            </w:pPr>
            <w:r w:rsidRPr="00214246">
              <w:rPr>
                <w:rFonts w:asciiTheme="majorBidi" w:hAnsiTheme="majorBidi" w:cstheme="majorBidi"/>
              </w:rPr>
              <w:lastRenderedPageBreak/>
              <w:t>2.</w:t>
            </w:r>
          </w:p>
        </w:tc>
        <w:tc>
          <w:tcPr>
            <w:tcW w:w="1479" w:type="pct"/>
            <w:hideMark/>
          </w:tcPr>
          <w:p w14:paraId="60E07303" w14:textId="77777777" w:rsidR="00BD5588" w:rsidRPr="00214246" w:rsidRDefault="00BD5588" w:rsidP="00DB5DCA">
            <w:pPr>
              <w:rPr>
                <w:rFonts w:asciiTheme="majorBidi" w:hAnsiTheme="majorBidi" w:cstheme="majorBidi"/>
              </w:rPr>
            </w:pPr>
            <w:r w:rsidRPr="00214246">
              <w:rPr>
                <w:rFonts w:asciiTheme="majorBidi" w:hAnsiTheme="majorBidi" w:cstheme="majorBidi"/>
              </w:rPr>
              <w:t>Projekta izpildes ietekme uz pārvaldes funkcijām un institucionālo struktūru.</w:t>
            </w:r>
            <w:r w:rsidRPr="00214246">
              <w:rPr>
                <w:rFonts w:asciiTheme="majorBidi" w:hAnsiTheme="majorBidi" w:cstheme="majorBidi"/>
              </w:rPr>
              <w:br/>
              <w:t>Jaunu institūciju izveide, esošu institūciju likvidācija vai reorganizācija, to ietekme uz institūcijas cilvēkresursiem</w:t>
            </w:r>
          </w:p>
        </w:tc>
        <w:tc>
          <w:tcPr>
            <w:tcW w:w="3210" w:type="pct"/>
            <w:hideMark/>
          </w:tcPr>
          <w:p w14:paraId="31C3E4CD" w14:textId="77777777" w:rsidR="00842981" w:rsidRPr="00214246" w:rsidRDefault="00842981" w:rsidP="008E7EE9">
            <w:pPr>
              <w:ind w:left="123" w:firstLine="142"/>
              <w:jc w:val="both"/>
              <w:rPr>
                <w:rFonts w:asciiTheme="majorBidi" w:hAnsiTheme="majorBidi" w:cstheme="majorBidi"/>
              </w:rPr>
            </w:pPr>
            <w:r w:rsidRPr="00214246">
              <w:rPr>
                <w:rFonts w:asciiTheme="majorBidi" w:hAnsiTheme="majorBidi" w:cstheme="majorBidi"/>
              </w:rPr>
              <w:t>Projekts neietekmē Valsts robežsardzes funkcijas.</w:t>
            </w:r>
          </w:p>
          <w:p w14:paraId="432D48B7" w14:textId="77777777" w:rsidR="00842981" w:rsidRPr="00214246" w:rsidRDefault="00842981" w:rsidP="008E7EE9">
            <w:pPr>
              <w:shd w:val="clear" w:color="auto" w:fill="FFFFFF"/>
              <w:ind w:firstLine="265"/>
              <w:jc w:val="both"/>
              <w:rPr>
                <w:rFonts w:asciiTheme="majorBidi" w:hAnsiTheme="majorBidi" w:cstheme="majorBidi"/>
              </w:rPr>
            </w:pPr>
            <w:r w:rsidRPr="00214246">
              <w:rPr>
                <w:rFonts w:asciiTheme="majorBidi" w:hAnsiTheme="majorBidi" w:cstheme="majorBidi"/>
              </w:rPr>
              <w:t>Projektam nav ietekmes uz jaunu institūciju izveidi, esošu institūciju likvidāciju vai reorganizāciju.</w:t>
            </w:r>
          </w:p>
          <w:p w14:paraId="0FD77031" w14:textId="3B4B6FD2" w:rsidR="0059483E" w:rsidRPr="00214246" w:rsidRDefault="00842981" w:rsidP="008E7EE9">
            <w:pPr>
              <w:ind w:firstLine="265"/>
              <w:jc w:val="both"/>
              <w:rPr>
                <w:rFonts w:asciiTheme="majorBidi" w:hAnsiTheme="majorBidi" w:cstheme="majorBidi"/>
              </w:rPr>
            </w:pPr>
            <w:r w:rsidRPr="00214246">
              <w:rPr>
                <w:rFonts w:asciiTheme="majorBidi" w:hAnsiTheme="majorBidi" w:cstheme="majorBidi"/>
              </w:rPr>
              <w:t>Projektu paredzēts realizēt esošo cilvēkresursu ietvaros</w:t>
            </w:r>
          </w:p>
        </w:tc>
      </w:tr>
      <w:tr w:rsidR="00BD5588" w:rsidRPr="00214246" w14:paraId="50DABCF6" w14:textId="77777777" w:rsidTr="008E7EE9">
        <w:trPr>
          <w:cantSplit/>
        </w:trPr>
        <w:tc>
          <w:tcPr>
            <w:tcW w:w="311" w:type="pct"/>
            <w:hideMark/>
          </w:tcPr>
          <w:p w14:paraId="78FAE2E9" w14:textId="77777777" w:rsidR="00BD5588" w:rsidRPr="00214246" w:rsidRDefault="00BD5588" w:rsidP="00DB5DCA">
            <w:pPr>
              <w:jc w:val="center"/>
              <w:rPr>
                <w:rFonts w:asciiTheme="majorBidi" w:hAnsiTheme="majorBidi" w:cstheme="majorBidi"/>
              </w:rPr>
            </w:pPr>
            <w:r w:rsidRPr="00214246">
              <w:rPr>
                <w:rFonts w:asciiTheme="majorBidi" w:hAnsiTheme="majorBidi" w:cstheme="majorBidi"/>
              </w:rPr>
              <w:t>3.</w:t>
            </w:r>
          </w:p>
        </w:tc>
        <w:tc>
          <w:tcPr>
            <w:tcW w:w="1479" w:type="pct"/>
            <w:hideMark/>
          </w:tcPr>
          <w:p w14:paraId="4BDFF94F" w14:textId="77777777" w:rsidR="00BD5588" w:rsidRPr="00214246" w:rsidRDefault="00BD5588" w:rsidP="00DB5DCA">
            <w:pPr>
              <w:rPr>
                <w:rFonts w:asciiTheme="majorBidi" w:hAnsiTheme="majorBidi" w:cstheme="majorBidi"/>
              </w:rPr>
            </w:pPr>
            <w:r w:rsidRPr="00214246">
              <w:rPr>
                <w:rFonts w:asciiTheme="majorBidi" w:hAnsiTheme="majorBidi" w:cstheme="majorBidi"/>
              </w:rPr>
              <w:t>Cita informācija</w:t>
            </w:r>
          </w:p>
        </w:tc>
        <w:tc>
          <w:tcPr>
            <w:tcW w:w="3210" w:type="pct"/>
            <w:hideMark/>
          </w:tcPr>
          <w:p w14:paraId="6A6C1E7E" w14:textId="77777777" w:rsidR="00BD5588" w:rsidRPr="00214246" w:rsidRDefault="00056C3E" w:rsidP="00DB5DCA">
            <w:pPr>
              <w:rPr>
                <w:rFonts w:asciiTheme="majorBidi" w:hAnsiTheme="majorBidi" w:cstheme="majorBidi"/>
              </w:rPr>
            </w:pPr>
            <w:r w:rsidRPr="00214246">
              <w:rPr>
                <w:rFonts w:asciiTheme="majorBidi" w:hAnsiTheme="majorBidi" w:cstheme="majorBidi"/>
              </w:rPr>
              <w:t>Nav</w:t>
            </w:r>
            <w:r w:rsidR="00136611" w:rsidRPr="00214246">
              <w:rPr>
                <w:rFonts w:asciiTheme="majorBidi" w:hAnsiTheme="majorBidi" w:cstheme="majorBidi"/>
              </w:rPr>
              <w:t>.</w:t>
            </w:r>
          </w:p>
        </w:tc>
      </w:tr>
    </w:tbl>
    <w:p w14:paraId="72900680" w14:textId="77777777" w:rsidR="0018530E" w:rsidRPr="00214246" w:rsidRDefault="0018530E" w:rsidP="00DB5DCA">
      <w:pPr>
        <w:pStyle w:val="naisf"/>
        <w:rPr>
          <w:rFonts w:asciiTheme="majorBidi" w:hAnsiTheme="majorBidi" w:cstheme="majorBidi"/>
          <w:lang w:eastAsia="lv-LV"/>
        </w:rPr>
      </w:pPr>
    </w:p>
    <w:p w14:paraId="1A56543D" w14:textId="77777777" w:rsidR="001A310F" w:rsidRPr="00214246" w:rsidRDefault="001A310F" w:rsidP="00DB5DCA">
      <w:pPr>
        <w:pStyle w:val="naisf"/>
        <w:rPr>
          <w:rFonts w:asciiTheme="majorBidi" w:hAnsiTheme="majorBidi" w:cstheme="majorBidi"/>
          <w:lang w:eastAsia="lv-LV"/>
        </w:rPr>
      </w:pPr>
    </w:p>
    <w:p w14:paraId="7CEA65D3" w14:textId="1D4EA5C3" w:rsidR="006E2DA3" w:rsidRPr="00214246" w:rsidRDefault="00A3723C" w:rsidP="006E2DA3">
      <w:pPr>
        <w:rPr>
          <w:rFonts w:asciiTheme="majorBidi" w:hAnsiTheme="majorBidi" w:cstheme="majorBidi"/>
        </w:rPr>
      </w:pPr>
      <w:r w:rsidRPr="00214246">
        <w:rPr>
          <w:rFonts w:asciiTheme="majorBidi" w:hAnsiTheme="majorBidi" w:cstheme="majorBidi"/>
        </w:rPr>
        <w:t>Iekšlietu ministrs</w:t>
      </w:r>
      <w:r w:rsidRPr="00214246">
        <w:rPr>
          <w:rFonts w:asciiTheme="majorBidi" w:hAnsiTheme="majorBidi" w:cstheme="majorBidi"/>
        </w:rPr>
        <w:tab/>
      </w:r>
      <w:r w:rsidRPr="00214246">
        <w:rPr>
          <w:rFonts w:asciiTheme="majorBidi" w:hAnsiTheme="majorBidi" w:cstheme="majorBidi"/>
        </w:rPr>
        <w:tab/>
      </w:r>
      <w:r w:rsidRPr="00214246">
        <w:rPr>
          <w:rFonts w:asciiTheme="majorBidi" w:hAnsiTheme="majorBidi" w:cstheme="majorBidi"/>
        </w:rPr>
        <w:tab/>
        <w:t xml:space="preserve">    </w:t>
      </w:r>
      <w:r w:rsidRPr="00214246">
        <w:rPr>
          <w:rFonts w:asciiTheme="majorBidi" w:hAnsiTheme="majorBidi" w:cstheme="majorBidi"/>
        </w:rPr>
        <w:tab/>
      </w:r>
      <w:r w:rsidRPr="00214246">
        <w:rPr>
          <w:rFonts w:asciiTheme="majorBidi" w:hAnsiTheme="majorBidi" w:cstheme="majorBidi"/>
        </w:rPr>
        <w:tab/>
      </w:r>
      <w:r w:rsidRPr="00214246">
        <w:rPr>
          <w:rFonts w:asciiTheme="majorBidi" w:hAnsiTheme="majorBidi" w:cstheme="majorBidi"/>
        </w:rPr>
        <w:tab/>
      </w:r>
      <w:r w:rsidRPr="00214246">
        <w:rPr>
          <w:rFonts w:asciiTheme="majorBidi" w:hAnsiTheme="majorBidi" w:cstheme="majorBidi"/>
        </w:rPr>
        <w:tab/>
      </w:r>
      <w:r w:rsidR="00DB5DCA" w:rsidRPr="00214246">
        <w:rPr>
          <w:rFonts w:asciiTheme="majorBidi" w:hAnsiTheme="majorBidi" w:cstheme="majorBidi"/>
        </w:rPr>
        <w:t xml:space="preserve">          </w:t>
      </w:r>
      <w:r w:rsidR="002309F8" w:rsidRPr="00214246">
        <w:rPr>
          <w:rFonts w:asciiTheme="majorBidi" w:hAnsiTheme="majorBidi" w:cstheme="majorBidi"/>
        </w:rPr>
        <w:t>S</w:t>
      </w:r>
      <w:r w:rsidRPr="00214246">
        <w:rPr>
          <w:rFonts w:asciiTheme="majorBidi" w:hAnsiTheme="majorBidi" w:cstheme="majorBidi"/>
        </w:rPr>
        <w:t>.</w:t>
      </w:r>
      <w:r w:rsidR="00214246">
        <w:rPr>
          <w:rFonts w:asciiTheme="majorBidi" w:hAnsiTheme="majorBidi" w:cstheme="majorBidi"/>
        </w:rPr>
        <w:t xml:space="preserve"> </w:t>
      </w:r>
      <w:proofErr w:type="spellStart"/>
      <w:r w:rsidR="002309F8" w:rsidRPr="00214246">
        <w:rPr>
          <w:rFonts w:asciiTheme="majorBidi" w:hAnsiTheme="majorBidi" w:cstheme="majorBidi"/>
        </w:rPr>
        <w:t>Ģirģens</w:t>
      </w:r>
      <w:proofErr w:type="spellEnd"/>
      <w:r w:rsidRPr="00214246">
        <w:rPr>
          <w:rFonts w:asciiTheme="majorBidi" w:hAnsiTheme="majorBidi" w:cstheme="majorBidi"/>
        </w:rPr>
        <w:tab/>
      </w:r>
      <w:r w:rsidRPr="00214246">
        <w:rPr>
          <w:rFonts w:asciiTheme="majorBidi" w:hAnsiTheme="majorBidi" w:cstheme="majorBidi"/>
        </w:rPr>
        <w:tab/>
      </w:r>
    </w:p>
    <w:p w14:paraId="47513C4C" w14:textId="77777777" w:rsidR="006E2DA3" w:rsidRPr="00214246" w:rsidRDefault="006E2DA3" w:rsidP="006E2DA3">
      <w:pPr>
        <w:rPr>
          <w:rFonts w:asciiTheme="majorBidi" w:hAnsiTheme="majorBidi" w:cstheme="majorBidi"/>
        </w:rPr>
      </w:pPr>
      <w:r w:rsidRPr="00214246">
        <w:rPr>
          <w:rFonts w:asciiTheme="majorBidi" w:hAnsiTheme="majorBidi" w:cstheme="majorBidi"/>
        </w:rPr>
        <w:t xml:space="preserve">Vīza: </w:t>
      </w:r>
    </w:p>
    <w:p w14:paraId="12831823" w14:textId="6D39E7CE" w:rsidR="006E2DA3" w:rsidRPr="00214246" w:rsidRDefault="00214246" w:rsidP="006E2DA3">
      <w:pPr>
        <w:rPr>
          <w:rFonts w:asciiTheme="majorBidi" w:hAnsiTheme="majorBidi" w:cstheme="majorBidi"/>
        </w:rPr>
      </w:pPr>
      <w:r>
        <w:rPr>
          <w:rFonts w:asciiTheme="majorBidi" w:hAnsiTheme="majorBidi" w:cstheme="majorBidi"/>
        </w:rPr>
        <w:t>valsts sekretārs</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r w:rsidR="006E2DA3" w:rsidRPr="00214246">
        <w:rPr>
          <w:rFonts w:asciiTheme="majorBidi" w:hAnsiTheme="majorBidi" w:cstheme="majorBidi"/>
        </w:rPr>
        <w:t>D.</w:t>
      </w:r>
      <w:r>
        <w:rPr>
          <w:rFonts w:asciiTheme="majorBidi" w:hAnsiTheme="majorBidi" w:cstheme="majorBidi"/>
        </w:rPr>
        <w:t xml:space="preserve"> </w:t>
      </w:r>
      <w:r w:rsidR="006E2DA3" w:rsidRPr="00214246">
        <w:rPr>
          <w:rFonts w:asciiTheme="majorBidi" w:hAnsiTheme="majorBidi" w:cstheme="majorBidi"/>
        </w:rPr>
        <w:t>Trofimovs</w:t>
      </w:r>
    </w:p>
    <w:p w14:paraId="4A41B91A" w14:textId="77777777" w:rsidR="00A3723C" w:rsidRPr="00214246" w:rsidRDefault="00A3723C" w:rsidP="006E2DA3">
      <w:pPr>
        <w:pStyle w:val="naisf"/>
        <w:spacing w:before="0" w:after="0"/>
        <w:ind w:firstLine="0"/>
        <w:rPr>
          <w:rFonts w:asciiTheme="majorBidi" w:hAnsiTheme="majorBidi" w:cstheme="majorBidi"/>
        </w:rPr>
      </w:pPr>
    </w:p>
    <w:p w14:paraId="5666F1BC" w14:textId="77777777" w:rsidR="00BE50C2" w:rsidRDefault="00BE50C2" w:rsidP="00DB5DCA">
      <w:pPr>
        <w:pStyle w:val="naisf"/>
        <w:tabs>
          <w:tab w:val="left" w:pos="540"/>
        </w:tabs>
        <w:spacing w:before="0" w:after="0"/>
        <w:ind w:left="374" w:firstLine="0"/>
        <w:rPr>
          <w:sz w:val="28"/>
          <w:szCs w:val="28"/>
        </w:rPr>
      </w:pPr>
    </w:p>
    <w:p w14:paraId="4654AA97" w14:textId="77777777" w:rsidR="00BE50C2" w:rsidRDefault="00BE50C2" w:rsidP="00DB5DCA">
      <w:pPr>
        <w:pStyle w:val="naisf"/>
        <w:tabs>
          <w:tab w:val="left" w:pos="540"/>
        </w:tabs>
        <w:spacing w:before="0" w:after="0"/>
        <w:ind w:left="374" w:firstLine="0"/>
        <w:rPr>
          <w:sz w:val="28"/>
          <w:szCs w:val="28"/>
        </w:rPr>
      </w:pPr>
    </w:p>
    <w:p w14:paraId="39212EE9" w14:textId="77777777" w:rsidR="00B740F9" w:rsidRDefault="00B740F9" w:rsidP="00DB5DCA">
      <w:pPr>
        <w:pStyle w:val="naisf"/>
        <w:tabs>
          <w:tab w:val="left" w:pos="540"/>
        </w:tabs>
        <w:spacing w:before="0" w:after="0"/>
        <w:ind w:left="374" w:firstLine="0"/>
        <w:rPr>
          <w:sz w:val="28"/>
          <w:szCs w:val="28"/>
        </w:rPr>
      </w:pPr>
    </w:p>
    <w:p w14:paraId="49116222" w14:textId="77777777" w:rsidR="00914A86" w:rsidRDefault="00914A86" w:rsidP="00DB5DCA">
      <w:pPr>
        <w:pStyle w:val="naisf"/>
        <w:tabs>
          <w:tab w:val="left" w:pos="540"/>
        </w:tabs>
        <w:spacing w:before="0" w:after="0"/>
        <w:ind w:left="374" w:firstLine="0"/>
        <w:rPr>
          <w:sz w:val="28"/>
          <w:szCs w:val="28"/>
        </w:rPr>
      </w:pPr>
    </w:p>
    <w:p w14:paraId="3F421862" w14:textId="77777777" w:rsidR="000422DD" w:rsidRPr="000422DD" w:rsidRDefault="000422DD" w:rsidP="000422DD">
      <w:pPr>
        <w:pStyle w:val="NoSpacing"/>
        <w:ind w:left="142" w:right="140" w:hanging="142"/>
        <w:jc w:val="both"/>
        <w:rPr>
          <w:sz w:val="20"/>
          <w:szCs w:val="20"/>
        </w:rPr>
      </w:pPr>
      <w:r w:rsidRPr="000422DD">
        <w:rPr>
          <w:color w:val="000000"/>
          <w:sz w:val="20"/>
          <w:szCs w:val="20"/>
        </w:rPr>
        <w:t>Slesars</w:t>
      </w:r>
    </w:p>
    <w:p w14:paraId="65AE3094" w14:textId="6E624A32" w:rsidR="000422DD" w:rsidRPr="000422DD" w:rsidRDefault="000422DD" w:rsidP="000422DD">
      <w:pPr>
        <w:pStyle w:val="BodyText3"/>
        <w:spacing w:after="0"/>
        <w:ind w:left="142" w:right="140" w:hanging="142"/>
        <w:rPr>
          <w:rStyle w:val="Hyperlink"/>
          <w:sz w:val="20"/>
          <w:szCs w:val="20"/>
        </w:rPr>
      </w:pPr>
      <w:r w:rsidRPr="000422DD">
        <w:rPr>
          <w:sz w:val="20"/>
          <w:szCs w:val="20"/>
        </w:rPr>
        <w:t>67075737</w:t>
      </w:r>
      <w:r w:rsidRPr="000422DD">
        <w:rPr>
          <w:color w:val="000000"/>
          <w:sz w:val="20"/>
          <w:szCs w:val="20"/>
        </w:rPr>
        <w:t>;</w:t>
      </w:r>
      <w:r w:rsidRPr="000422DD">
        <w:rPr>
          <w:sz w:val="20"/>
          <w:szCs w:val="20"/>
        </w:rPr>
        <w:t xml:space="preserve"> arnis.slesars@rs.gov.lv</w:t>
      </w:r>
    </w:p>
    <w:p w14:paraId="6B1AD5C4" w14:textId="77777777" w:rsidR="00B740F9" w:rsidRPr="000422DD" w:rsidRDefault="00B740F9" w:rsidP="000422DD">
      <w:pPr>
        <w:pStyle w:val="naisf"/>
        <w:tabs>
          <w:tab w:val="left" w:pos="540"/>
        </w:tabs>
        <w:spacing w:before="0" w:after="0"/>
        <w:ind w:firstLine="0"/>
        <w:rPr>
          <w:sz w:val="20"/>
          <w:szCs w:val="20"/>
        </w:rPr>
      </w:pPr>
    </w:p>
    <w:p w14:paraId="4BC54D2F" w14:textId="77777777" w:rsidR="000422DD" w:rsidRPr="000422DD" w:rsidRDefault="0005557C" w:rsidP="00DB5DCA">
      <w:pPr>
        <w:rPr>
          <w:sz w:val="20"/>
          <w:szCs w:val="20"/>
        </w:rPr>
      </w:pPr>
      <w:r w:rsidRPr="000422DD">
        <w:rPr>
          <w:sz w:val="20"/>
          <w:szCs w:val="20"/>
        </w:rPr>
        <w:t>Kiesnere-Pierhuroviča</w:t>
      </w:r>
      <w:r w:rsidR="00A3723C" w:rsidRPr="000422DD">
        <w:rPr>
          <w:sz w:val="20"/>
          <w:szCs w:val="20"/>
        </w:rPr>
        <w:t xml:space="preserve"> </w:t>
      </w:r>
    </w:p>
    <w:p w14:paraId="132FC716" w14:textId="7BC1C391" w:rsidR="00A3723C" w:rsidRPr="000422DD" w:rsidRDefault="0005557C" w:rsidP="000422DD">
      <w:pPr>
        <w:rPr>
          <w:sz w:val="20"/>
          <w:szCs w:val="20"/>
        </w:rPr>
      </w:pPr>
      <w:r w:rsidRPr="000422DD">
        <w:rPr>
          <w:sz w:val="20"/>
          <w:szCs w:val="20"/>
        </w:rPr>
        <w:t>67075744</w:t>
      </w:r>
      <w:r w:rsidR="000422DD" w:rsidRPr="000422DD">
        <w:rPr>
          <w:sz w:val="20"/>
          <w:szCs w:val="20"/>
        </w:rPr>
        <w:t xml:space="preserve">; </w:t>
      </w:r>
      <w:r w:rsidRPr="000422DD">
        <w:rPr>
          <w:sz w:val="20"/>
          <w:szCs w:val="20"/>
        </w:rPr>
        <w:t>skaidrite.kiesnere</w:t>
      </w:r>
      <w:r w:rsidR="003B2C18" w:rsidRPr="000422DD">
        <w:rPr>
          <w:sz w:val="20"/>
          <w:szCs w:val="20"/>
        </w:rPr>
        <w:t>@rs.gov.lv</w:t>
      </w:r>
      <w:r w:rsidR="00A3723C" w:rsidRPr="000422DD">
        <w:rPr>
          <w:sz w:val="20"/>
          <w:szCs w:val="20"/>
        </w:rPr>
        <w:t xml:space="preserve"> </w:t>
      </w:r>
    </w:p>
    <w:sectPr w:rsidR="00A3723C" w:rsidRPr="000422DD" w:rsidSect="002E4F20">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00FE6" w14:textId="77777777" w:rsidR="00B04F40" w:rsidRDefault="00B04F40" w:rsidP="00A3723C">
      <w:r>
        <w:separator/>
      </w:r>
    </w:p>
  </w:endnote>
  <w:endnote w:type="continuationSeparator" w:id="0">
    <w:p w14:paraId="51C55630" w14:textId="77777777" w:rsidR="00B04F40" w:rsidRDefault="00B04F40" w:rsidP="00A3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EUAlbertina_Bold">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1B794" w14:textId="77777777" w:rsidR="008916FA" w:rsidRDefault="00891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F017B" w14:textId="7ECBEE8A" w:rsidR="009F4F0C" w:rsidRPr="00A3723C" w:rsidRDefault="00762C05">
    <w:pPr>
      <w:pStyle w:val="Footer"/>
      <w:rPr>
        <w:rFonts w:ascii="Times New Roman" w:hAnsi="Times New Roman"/>
        <w:sz w:val="20"/>
        <w:szCs w:val="20"/>
      </w:rPr>
    </w:pPr>
    <w:r>
      <w:rPr>
        <w:rFonts w:ascii="Times New Roman" w:hAnsi="Times New Roman"/>
        <w:sz w:val="20"/>
        <w:szCs w:val="20"/>
      </w:rPr>
      <w:t>IEMAnot</w:t>
    </w:r>
  </w:p>
  <w:p w14:paraId="00A8D2C9" w14:textId="77777777" w:rsidR="009F4F0C" w:rsidRDefault="009F4F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C9A63" w14:textId="237A5AC9" w:rsidR="009F4F0C" w:rsidRPr="00A3723C" w:rsidRDefault="00762C05">
    <w:pPr>
      <w:pStyle w:val="Footer"/>
      <w:rPr>
        <w:rFonts w:ascii="Times New Roman" w:hAnsi="Times New Roman"/>
        <w:sz w:val="20"/>
        <w:szCs w:val="20"/>
      </w:rPr>
    </w:pPr>
    <w:proofErr w:type="spellStart"/>
    <w:r>
      <w:rPr>
        <w:rFonts w:ascii="Times New Roman" w:hAnsi="Times New Roman"/>
        <w:sz w:val="20"/>
        <w:szCs w:val="20"/>
      </w:rPr>
      <w:t>IEMAnot</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E96DCC" w14:textId="77777777" w:rsidR="00B04F40" w:rsidRDefault="00B04F40" w:rsidP="00A3723C">
      <w:r>
        <w:separator/>
      </w:r>
    </w:p>
  </w:footnote>
  <w:footnote w:type="continuationSeparator" w:id="0">
    <w:p w14:paraId="7D5D00B4" w14:textId="77777777" w:rsidR="00B04F40" w:rsidRDefault="00B04F40" w:rsidP="00A3723C">
      <w:r>
        <w:continuationSeparator/>
      </w:r>
    </w:p>
  </w:footnote>
  <w:footnote w:id="1">
    <w:p w14:paraId="0812D4A7" w14:textId="77777777" w:rsidR="00FA09D2" w:rsidRDefault="00FA09D2" w:rsidP="00FA09D2">
      <w:pPr>
        <w:pStyle w:val="FootnoteText"/>
      </w:pPr>
      <w:r>
        <w:rPr>
          <w:rStyle w:val="FootnoteReference"/>
        </w:rPr>
        <w:footnoteRef/>
      </w:r>
      <w:r>
        <w:t xml:space="preserve"> </w:t>
      </w:r>
      <w:r w:rsidRPr="009D165E">
        <w:t>https://likumi.lv/ta/id/197491-noteikumi-par-valsts-robezsardzes-sniegto-maksas-pakalpojumu-cenradi</w:t>
      </w:r>
      <w:r>
        <w:t xml:space="preserve"> </w:t>
      </w:r>
    </w:p>
  </w:footnote>
  <w:footnote w:id="2">
    <w:p w14:paraId="0F588B80" w14:textId="2A4C85CC" w:rsidR="008930D1" w:rsidRDefault="008930D1" w:rsidP="008930D1">
      <w:pPr>
        <w:pStyle w:val="FootnoteText"/>
        <w:jc w:val="both"/>
      </w:pPr>
      <w:r>
        <w:rPr>
          <w:rStyle w:val="FootnoteReference"/>
        </w:rPr>
        <w:footnoteRef/>
      </w:r>
      <w:r>
        <w:t xml:space="preserve"> Ministru kabineta 2014. gada 22. jūlija </w:t>
      </w:r>
      <w:r w:rsidRPr="008930D1">
        <w:t>noteikumi Nr. 424 “Grozījums Ministru kabineta 2013.gada 13.augusta noteikumos Nr.</w:t>
      </w:r>
      <w:r>
        <w:t xml:space="preserve"> 560 “</w:t>
      </w:r>
      <w:r w:rsidRPr="008930D1">
        <w:t>Valsts robežsardzes maksas pakalpojumu cenrādis””</w:t>
      </w:r>
    </w:p>
  </w:footnote>
  <w:footnote w:id="3">
    <w:p w14:paraId="6E70B35A" w14:textId="7B360291" w:rsidR="006D78EA" w:rsidRDefault="006D78EA" w:rsidP="00130672">
      <w:pPr>
        <w:pStyle w:val="FootnoteText"/>
        <w:jc w:val="both"/>
      </w:pPr>
      <w:r>
        <w:rPr>
          <w:rStyle w:val="FootnoteReference"/>
        </w:rPr>
        <w:footnoteRef/>
      </w:r>
      <w:r>
        <w:t xml:space="preserve"> Tiesu ekspertu likuma 11. panta pirmā daļa.</w:t>
      </w:r>
    </w:p>
  </w:footnote>
  <w:footnote w:id="4">
    <w:p w14:paraId="33C947F6" w14:textId="6C6A019E" w:rsidR="006D78EA" w:rsidRDefault="006D78EA" w:rsidP="00130672">
      <w:pPr>
        <w:pStyle w:val="FootnoteText"/>
        <w:jc w:val="both"/>
      </w:pPr>
      <w:r>
        <w:rPr>
          <w:rStyle w:val="FootnoteReference"/>
        </w:rPr>
        <w:footnoteRef/>
      </w:r>
      <w:r>
        <w:t xml:space="preserve"> Ministru kabineta 2016. gada 20. </w:t>
      </w:r>
      <w:r w:rsidRPr="00214246">
        <w:t>decembra noteikum</w:t>
      </w:r>
      <w:r>
        <w:t>u</w:t>
      </w:r>
      <w:r w:rsidRPr="00214246">
        <w:t xml:space="preserve"> Nr. </w:t>
      </w:r>
      <w:r>
        <w:t>835</w:t>
      </w:r>
      <w:r w:rsidRPr="00214246">
        <w:t xml:space="preserve"> “Noteikumi par tiesu ekspertīžu iestāžu sarakstu un tiesu ekspertu specialitāšu klasifikatoru”</w:t>
      </w:r>
      <w:r>
        <w:t xml:space="preserve"> 2. punkts.</w:t>
      </w:r>
    </w:p>
  </w:footnote>
  <w:footnote w:id="5">
    <w:p w14:paraId="484D8AB8" w14:textId="29F2AE5F" w:rsidR="006D78EA" w:rsidRDefault="006D78EA" w:rsidP="00130672">
      <w:pPr>
        <w:pStyle w:val="FootnoteText"/>
        <w:jc w:val="both"/>
      </w:pPr>
      <w:r>
        <w:rPr>
          <w:rStyle w:val="FootnoteReference"/>
        </w:rPr>
        <w:footnoteRef/>
      </w:r>
      <w:r>
        <w:t xml:space="preserve"> Tiesu ekspertu likuma 4. pants un II nodaļa. </w:t>
      </w:r>
    </w:p>
  </w:footnote>
  <w:footnote w:id="6">
    <w:p w14:paraId="2E462CC6" w14:textId="17AB74E4" w:rsidR="00382E5B" w:rsidRDefault="00382E5B" w:rsidP="00130672">
      <w:pPr>
        <w:pStyle w:val="FootnoteText"/>
        <w:jc w:val="both"/>
      </w:pPr>
      <w:r>
        <w:rPr>
          <w:rStyle w:val="FootnoteReference"/>
        </w:rPr>
        <w:footnoteRef/>
      </w:r>
      <w:r>
        <w:t xml:space="preserve"> Tiesu ekspertu likuma 14. panta otrās daļas 1. punkts.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6AF96" w14:textId="77777777" w:rsidR="008916FA" w:rsidRDefault="00891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317709"/>
      <w:docPartObj>
        <w:docPartGallery w:val="Page Numbers (Top of Page)"/>
        <w:docPartUnique/>
      </w:docPartObj>
    </w:sdtPr>
    <w:sdtEndPr>
      <w:rPr>
        <w:noProof/>
      </w:rPr>
    </w:sdtEndPr>
    <w:sdtContent>
      <w:p w14:paraId="0CFB9694" w14:textId="77777777" w:rsidR="009F4F0C" w:rsidRDefault="009F4F0C">
        <w:pPr>
          <w:pStyle w:val="Header"/>
          <w:jc w:val="center"/>
        </w:pPr>
        <w:r>
          <w:fldChar w:fldCharType="begin"/>
        </w:r>
        <w:r>
          <w:instrText xml:space="preserve"> PAGE   \* MERGEFORMAT </w:instrText>
        </w:r>
        <w:r>
          <w:fldChar w:fldCharType="separate"/>
        </w:r>
        <w:r w:rsidR="00CA3610">
          <w:rPr>
            <w:noProof/>
          </w:rPr>
          <w:t>7</w:t>
        </w:r>
        <w:r>
          <w:rPr>
            <w:noProof/>
          </w:rPr>
          <w:fldChar w:fldCharType="end"/>
        </w:r>
      </w:p>
    </w:sdtContent>
  </w:sdt>
  <w:p w14:paraId="2ACC7319" w14:textId="77777777" w:rsidR="009F4F0C" w:rsidRDefault="009F4F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126EB" w14:textId="77777777" w:rsidR="008916FA" w:rsidRDefault="00891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369DA"/>
    <w:multiLevelType w:val="hybridMultilevel"/>
    <w:tmpl w:val="845650F8"/>
    <w:lvl w:ilvl="0" w:tplc="40C05E4C">
      <w:start w:val="1"/>
      <w:numFmt w:val="bullet"/>
      <w:lvlText w:val=""/>
      <w:lvlJc w:val="left"/>
      <w:pPr>
        <w:ind w:left="909" w:hanging="360"/>
      </w:pPr>
      <w:rPr>
        <w:rFonts w:ascii="Symbol" w:hAnsi="Symbol" w:hint="default"/>
      </w:rPr>
    </w:lvl>
    <w:lvl w:ilvl="1" w:tplc="04260003" w:tentative="1">
      <w:start w:val="1"/>
      <w:numFmt w:val="bullet"/>
      <w:lvlText w:val="o"/>
      <w:lvlJc w:val="left"/>
      <w:pPr>
        <w:ind w:left="1629" w:hanging="360"/>
      </w:pPr>
      <w:rPr>
        <w:rFonts w:ascii="Courier New" w:hAnsi="Courier New" w:cs="Courier New" w:hint="default"/>
      </w:rPr>
    </w:lvl>
    <w:lvl w:ilvl="2" w:tplc="04260005" w:tentative="1">
      <w:start w:val="1"/>
      <w:numFmt w:val="bullet"/>
      <w:lvlText w:val=""/>
      <w:lvlJc w:val="left"/>
      <w:pPr>
        <w:ind w:left="2349" w:hanging="360"/>
      </w:pPr>
      <w:rPr>
        <w:rFonts w:ascii="Wingdings" w:hAnsi="Wingdings" w:hint="default"/>
      </w:rPr>
    </w:lvl>
    <w:lvl w:ilvl="3" w:tplc="04260001" w:tentative="1">
      <w:start w:val="1"/>
      <w:numFmt w:val="bullet"/>
      <w:lvlText w:val=""/>
      <w:lvlJc w:val="left"/>
      <w:pPr>
        <w:ind w:left="3069" w:hanging="360"/>
      </w:pPr>
      <w:rPr>
        <w:rFonts w:ascii="Symbol" w:hAnsi="Symbol" w:hint="default"/>
      </w:rPr>
    </w:lvl>
    <w:lvl w:ilvl="4" w:tplc="04260003" w:tentative="1">
      <w:start w:val="1"/>
      <w:numFmt w:val="bullet"/>
      <w:lvlText w:val="o"/>
      <w:lvlJc w:val="left"/>
      <w:pPr>
        <w:ind w:left="3789" w:hanging="360"/>
      </w:pPr>
      <w:rPr>
        <w:rFonts w:ascii="Courier New" w:hAnsi="Courier New" w:cs="Courier New" w:hint="default"/>
      </w:rPr>
    </w:lvl>
    <w:lvl w:ilvl="5" w:tplc="04260005" w:tentative="1">
      <w:start w:val="1"/>
      <w:numFmt w:val="bullet"/>
      <w:lvlText w:val=""/>
      <w:lvlJc w:val="left"/>
      <w:pPr>
        <w:ind w:left="4509" w:hanging="360"/>
      </w:pPr>
      <w:rPr>
        <w:rFonts w:ascii="Wingdings" w:hAnsi="Wingdings" w:hint="default"/>
      </w:rPr>
    </w:lvl>
    <w:lvl w:ilvl="6" w:tplc="04260001" w:tentative="1">
      <w:start w:val="1"/>
      <w:numFmt w:val="bullet"/>
      <w:lvlText w:val=""/>
      <w:lvlJc w:val="left"/>
      <w:pPr>
        <w:ind w:left="5229" w:hanging="360"/>
      </w:pPr>
      <w:rPr>
        <w:rFonts w:ascii="Symbol" w:hAnsi="Symbol" w:hint="default"/>
      </w:rPr>
    </w:lvl>
    <w:lvl w:ilvl="7" w:tplc="04260003" w:tentative="1">
      <w:start w:val="1"/>
      <w:numFmt w:val="bullet"/>
      <w:lvlText w:val="o"/>
      <w:lvlJc w:val="left"/>
      <w:pPr>
        <w:ind w:left="5949" w:hanging="360"/>
      </w:pPr>
      <w:rPr>
        <w:rFonts w:ascii="Courier New" w:hAnsi="Courier New" w:cs="Courier New" w:hint="default"/>
      </w:rPr>
    </w:lvl>
    <w:lvl w:ilvl="8" w:tplc="04260005" w:tentative="1">
      <w:start w:val="1"/>
      <w:numFmt w:val="bullet"/>
      <w:lvlText w:val=""/>
      <w:lvlJc w:val="left"/>
      <w:pPr>
        <w:ind w:left="6669" w:hanging="360"/>
      </w:pPr>
      <w:rPr>
        <w:rFonts w:ascii="Wingdings" w:hAnsi="Wingdings" w:hint="default"/>
      </w:rPr>
    </w:lvl>
  </w:abstractNum>
  <w:abstractNum w:abstractNumId="1">
    <w:nsid w:val="2CF55D28"/>
    <w:multiLevelType w:val="hybridMultilevel"/>
    <w:tmpl w:val="99E45D6A"/>
    <w:lvl w:ilvl="0" w:tplc="40C05E4C">
      <w:start w:val="1"/>
      <w:numFmt w:val="bullet"/>
      <w:lvlText w:val=""/>
      <w:lvlJc w:val="left"/>
      <w:pPr>
        <w:ind w:left="720" w:hanging="360"/>
      </w:pPr>
      <w:rPr>
        <w:rFonts w:ascii="Symbol" w:hAnsi="Symbol" w:hint="default"/>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59084BB8"/>
    <w:multiLevelType w:val="hybridMultilevel"/>
    <w:tmpl w:val="71A43A40"/>
    <w:lvl w:ilvl="0" w:tplc="40C05E4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5993349D"/>
    <w:multiLevelType w:val="hybridMultilevel"/>
    <w:tmpl w:val="816231BA"/>
    <w:lvl w:ilvl="0" w:tplc="8D94D20A">
      <w:start w:val="1"/>
      <w:numFmt w:val="decimal"/>
      <w:lvlText w:val="%1."/>
      <w:lvlJc w:val="left"/>
      <w:pPr>
        <w:ind w:left="767" w:hanging="360"/>
      </w:pPr>
      <w:rPr>
        <w:rFonts w:hint="default"/>
      </w:rPr>
    </w:lvl>
    <w:lvl w:ilvl="1" w:tplc="04260019" w:tentative="1">
      <w:start w:val="1"/>
      <w:numFmt w:val="lowerLetter"/>
      <w:lvlText w:val="%2."/>
      <w:lvlJc w:val="left"/>
      <w:pPr>
        <w:ind w:left="1487" w:hanging="360"/>
      </w:pPr>
    </w:lvl>
    <w:lvl w:ilvl="2" w:tplc="0426001B" w:tentative="1">
      <w:start w:val="1"/>
      <w:numFmt w:val="lowerRoman"/>
      <w:lvlText w:val="%3."/>
      <w:lvlJc w:val="right"/>
      <w:pPr>
        <w:ind w:left="2207" w:hanging="180"/>
      </w:pPr>
    </w:lvl>
    <w:lvl w:ilvl="3" w:tplc="0426000F" w:tentative="1">
      <w:start w:val="1"/>
      <w:numFmt w:val="decimal"/>
      <w:lvlText w:val="%4."/>
      <w:lvlJc w:val="left"/>
      <w:pPr>
        <w:ind w:left="2927" w:hanging="360"/>
      </w:pPr>
    </w:lvl>
    <w:lvl w:ilvl="4" w:tplc="04260019" w:tentative="1">
      <w:start w:val="1"/>
      <w:numFmt w:val="lowerLetter"/>
      <w:lvlText w:val="%5."/>
      <w:lvlJc w:val="left"/>
      <w:pPr>
        <w:ind w:left="3647" w:hanging="360"/>
      </w:pPr>
    </w:lvl>
    <w:lvl w:ilvl="5" w:tplc="0426001B" w:tentative="1">
      <w:start w:val="1"/>
      <w:numFmt w:val="lowerRoman"/>
      <w:lvlText w:val="%6."/>
      <w:lvlJc w:val="right"/>
      <w:pPr>
        <w:ind w:left="4367" w:hanging="180"/>
      </w:pPr>
    </w:lvl>
    <w:lvl w:ilvl="6" w:tplc="0426000F" w:tentative="1">
      <w:start w:val="1"/>
      <w:numFmt w:val="decimal"/>
      <w:lvlText w:val="%7."/>
      <w:lvlJc w:val="left"/>
      <w:pPr>
        <w:ind w:left="5087" w:hanging="360"/>
      </w:pPr>
    </w:lvl>
    <w:lvl w:ilvl="7" w:tplc="04260019" w:tentative="1">
      <w:start w:val="1"/>
      <w:numFmt w:val="lowerLetter"/>
      <w:lvlText w:val="%8."/>
      <w:lvlJc w:val="left"/>
      <w:pPr>
        <w:ind w:left="5807" w:hanging="360"/>
      </w:pPr>
    </w:lvl>
    <w:lvl w:ilvl="8" w:tplc="0426001B" w:tentative="1">
      <w:start w:val="1"/>
      <w:numFmt w:val="lowerRoman"/>
      <w:lvlText w:val="%9."/>
      <w:lvlJc w:val="right"/>
      <w:pPr>
        <w:ind w:left="6527" w:hanging="180"/>
      </w:pPr>
    </w:lvl>
  </w:abstractNum>
  <w:abstractNum w:abstractNumId="4">
    <w:nsid w:val="59BD7BA1"/>
    <w:multiLevelType w:val="hybridMultilevel"/>
    <w:tmpl w:val="D24C4FA4"/>
    <w:lvl w:ilvl="0" w:tplc="40C05E4C">
      <w:start w:val="1"/>
      <w:numFmt w:val="bullet"/>
      <w:lvlText w:val=""/>
      <w:lvlJc w:val="left"/>
      <w:pPr>
        <w:ind w:left="342" w:hanging="360"/>
      </w:pPr>
      <w:rPr>
        <w:rFonts w:ascii="Symbol" w:hAnsi="Symbol" w:hint="default"/>
      </w:rPr>
    </w:lvl>
    <w:lvl w:ilvl="1" w:tplc="04260003" w:tentative="1">
      <w:start w:val="1"/>
      <w:numFmt w:val="bullet"/>
      <w:lvlText w:val="o"/>
      <w:lvlJc w:val="left"/>
      <w:pPr>
        <w:ind w:left="1062" w:hanging="360"/>
      </w:pPr>
      <w:rPr>
        <w:rFonts w:ascii="Courier New" w:hAnsi="Courier New" w:cs="Courier New" w:hint="default"/>
      </w:rPr>
    </w:lvl>
    <w:lvl w:ilvl="2" w:tplc="04260005" w:tentative="1">
      <w:start w:val="1"/>
      <w:numFmt w:val="bullet"/>
      <w:lvlText w:val=""/>
      <w:lvlJc w:val="left"/>
      <w:pPr>
        <w:ind w:left="1782" w:hanging="360"/>
      </w:pPr>
      <w:rPr>
        <w:rFonts w:ascii="Wingdings" w:hAnsi="Wingdings" w:hint="default"/>
      </w:rPr>
    </w:lvl>
    <w:lvl w:ilvl="3" w:tplc="04260001" w:tentative="1">
      <w:start w:val="1"/>
      <w:numFmt w:val="bullet"/>
      <w:lvlText w:val=""/>
      <w:lvlJc w:val="left"/>
      <w:pPr>
        <w:ind w:left="2502" w:hanging="360"/>
      </w:pPr>
      <w:rPr>
        <w:rFonts w:ascii="Symbol" w:hAnsi="Symbol" w:hint="default"/>
      </w:rPr>
    </w:lvl>
    <w:lvl w:ilvl="4" w:tplc="04260003" w:tentative="1">
      <w:start w:val="1"/>
      <w:numFmt w:val="bullet"/>
      <w:lvlText w:val="o"/>
      <w:lvlJc w:val="left"/>
      <w:pPr>
        <w:ind w:left="3222" w:hanging="360"/>
      </w:pPr>
      <w:rPr>
        <w:rFonts w:ascii="Courier New" w:hAnsi="Courier New" w:cs="Courier New" w:hint="default"/>
      </w:rPr>
    </w:lvl>
    <w:lvl w:ilvl="5" w:tplc="04260005" w:tentative="1">
      <w:start w:val="1"/>
      <w:numFmt w:val="bullet"/>
      <w:lvlText w:val=""/>
      <w:lvlJc w:val="left"/>
      <w:pPr>
        <w:ind w:left="3942" w:hanging="360"/>
      </w:pPr>
      <w:rPr>
        <w:rFonts w:ascii="Wingdings" w:hAnsi="Wingdings" w:hint="default"/>
      </w:rPr>
    </w:lvl>
    <w:lvl w:ilvl="6" w:tplc="04260001" w:tentative="1">
      <w:start w:val="1"/>
      <w:numFmt w:val="bullet"/>
      <w:lvlText w:val=""/>
      <w:lvlJc w:val="left"/>
      <w:pPr>
        <w:ind w:left="4662" w:hanging="360"/>
      </w:pPr>
      <w:rPr>
        <w:rFonts w:ascii="Symbol" w:hAnsi="Symbol" w:hint="default"/>
      </w:rPr>
    </w:lvl>
    <w:lvl w:ilvl="7" w:tplc="04260003" w:tentative="1">
      <w:start w:val="1"/>
      <w:numFmt w:val="bullet"/>
      <w:lvlText w:val="o"/>
      <w:lvlJc w:val="left"/>
      <w:pPr>
        <w:ind w:left="5382" w:hanging="360"/>
      </w:pPr>
      <w:rPr>
        <w:rFonts w:ascii="Courier New" w:hAnsi="Courier New" w:cs="Courier New" w:hint="default"/>
      </w:rPr>
    </w:lvl>
    <w:lvl w:ilvl="8" w:tplc="04260005" w:tentative="1">
      <w:start w:val="1"/>
      <w:numFmt w:val="bullet"/>
      <w:lvlText w:val=""/>
      <w:lvlJc w:val="left"/>
      <w:pPr>
        <w:ind w:left="6102" w:hanging="360"/>
      </w:pPr>
      <w:rPr>
        <w:rFonts w:ascii="Wingdings" w:hAnsi="Wingdings" w:hint="default"/>
      </w:rPr>
    </w:lvl>
  </w:abstractNum>
  <w:abstractNum w:abstractNumId="5">
    <w:nsid w:val="79B91220"/>
    <w:multiLevelType w:val="hybridMultilevel"/>
    <w:tmpl w:val="74D2F648"/>
    <w:lvl w:ilvl="0" w:tplc="38125AD0">
      <w:start w:val="4"/>
      <w:numFmt w:val="bullet"/>
      <w:lvlText w:val="-"/>
      <w:lvlJc w:val="left"/>
      <w:pPr>
        <w:ind w:left="909" w:hanging="360"/>
      </w:pPr>
      <w:rPr>
        <w:rFonts w:ascii="Arial" w:eastAsia="Times New Roman" w:hAnsi="Arial" w:cs="Arial" w:hint="default"/>
        <w:color w:val="414142"/>
        <w:sz w:val="20"/>
      </w:rPr>
    </w:lvl>
    <w:lvl w:ilvl="1" w:tplc="04260003" w:tentative="1">
      <w:start w:val="1"/>
      <w:numFmt w:val="bullet"/>
      <w:lvlText w:val="o"/>
      <w:lvlJc w:val="left"/>
      <w:pPr>
        <w:ind w:left="1629" w:hanging="360"/>
      </w:pPr>
      <w:rPr>
        <w:rFonts w:ascii="Courier New" w:hAnsi="Courier New" w:cs="Courier New" w:hint="default"/>
      </w:rPr>
    </w:lvl>
    <w:lvl w:ilvl="2" w:tplc="04260005" w:tentative="1">
      <w:start w:val="1"/>
      <w:numFmt w:val="bullet"/>
      <w:lvlText w:val=""/>
      <w:lvlJc w:val="left"/>
      <w:pPr>
        <w:ind w:left="2349" w:hanging="360"/>
      </w:pPr>
      <w:rPr>
        <w:rFonts w:ascii="Wingdings" w:hAnsi="Wingdings" w:hint="default"/>
      </w:rPr>
    </w:lvl>
    <w:lvl w:ilvl="3" w:tplc="04260001" w:tentative="1">
      <w:start w:val="1"/>
      <w:numFmt w:val="bullet"/>
      <w:lvlText w:val=""/>
      <w:lvlJc w:val="left"/>
      <w:pPr>
        <w:ind w:left="3069" w:hanging="360"/>
      </w:pPr>
      <w:rPr>
        <w:rFonts w:ascii="Symbol" w:hAnsi="Symbol" w:hint="default"/>
      </w:rPr>
    </w:lvl>
    <w:lvl w:ilvl="4" w:tplc="04260003" w:tentative="1">
      <w:start w:val="1"/>
      <w:numFmt w:val="bullet"/>
      <w:lvlText w:val="o"/>
      <w:lvlJc w:val="left"/>
      <w:pPr>
        <w:ind w:left="3789" w:hanging="360"/>
      </w:pPr>
      <w:rPr>
        <w:rFonts w:ascii="Courier New" w:hAnsi="Courier New" w:cs="Courier New" w:hint="default"/>
      </w:rPr>
    </w:lvl>
    <w:lvl w:ilvl="5" w:tplc="04260005" w:tentative="1">
      <w:start w:val="1"/>
      <w:numFmt w:val="bullet"/>
      <w:lvlText w:val=""/>
      <w:lvlJc w:val="left"/>
      <w:pPr>
        <w:ind w:left="4509" w:hanging="360"/>
      </w:pPr>
      <w:rPr>
        <w:rFonts w:ascii="Wingdings" w:hAnsi="Wingdings" w:hint="default"/>
      </w:rPr>
    </w:lvl>
    <w:lvl w:ilvl="6" w:tplc="04260001" w:tentative="1">
      <w:start w:val="1"/>
      <w:numFmt w:val="bullet"/>
      <w:lvlText w:val=""/>
      <w:lvlJc w:val="left"/>
      <w:pPr>
        <w:ind w:left="5229" w:hanging="360"/>
      </w:pPr>
      <w:rPr>
        <w:rFonts w:ascii="Symbol" w:hAnsi="Symbol" w:hint="default"/>
      </w:rPr>
    </w:lvl>
    <w:lvl w:ilvl="7" w:tplc="04260003" w:tentative="1">
      <w:start w:val="1"/>
      <w:numFmt w:val="bullet"/>
      <w:lvlText w:val="o"/>
      <w:lvlJc w:val="left"/>
      <w:pPr>
        <w:ind w:left="5949" w:hanging="360"/>
      </w:pPr>
      <w:rPr>
        <w:rFonts w:ascii="Courier New" w:hAnsi="Courier New" w:cs="Courier New" w:hint="default"/>
      </w:rPr>
    </w:lvl>
    <w:lvl w:ilvl="8" w:tplc="04260005" w:tentative="1">
      <w:start w:val="1"/>
      <w:numFmt w:val="bullet"/>
      <w:lvlText w:val=""/>
      <w:lvlJc w:val="left"/>
      <w:pPr>
        <w:ind w:left="6669"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88"/>
    <w:rsid w:val="0002581D"/>
    <w:rsid w:val="00037617"/>
    <w:rsid w:val="00040455"/>
    <w:rsid w:val="000422DD"/>
    <w:rsid w:val="00044F27"/>
    <w:rsid w:val="000457BC"/>
    <w:rsid w:val="00047494"/>
    <w:rsid w:val="0005557C"/>
    <w:rsid w:val="00055D4A"/>
    <w:rsid w:val="00056C3E"/>
    <w:rsid w:val="00057D86"/>
    <w:rsid w:val="00067399"/>
    <w:rsid w:val="00071E7A"/>
    <w:rsid w:val="000728C3"/>
    <w:rsid w:val="00075A16"/>
    <w:rsid w:val="000876A4"/>
    <w:rsid w:val="00087834"/>
    <w:rsid w:val="00091231"/>
    <w:rsid w:val="0009128F"/>
    <w:rsid w:val="000913AC"/>
    <w:rsid w:val="00093E41"/>
    <w:rsid w:val="000A2877"/>
    <w:rsid w:val="000B1544"/>
    <w:rsid w:val="000B2161"/>
    <w:rsid w:val="000C003E"/>
    <w:rsid w:val="000C611A"/>
    <w:rsid w:val="000C70DF"/>
    <w:rsid w:val="000D3B8D"/>
    <w:rsid w:val="001028B4"/>
    <w:rsid w:val="00122DA0"/>
    <w:rsid w:val="001251B1"/>
    <w:rsid w:val="00130672"/>
    <w:rsid w:val="00136611"/>
    <w:rsid w:val="0014024B"/>
    <w:rsid w:val="001460DD"/>
    <w:rsid w:val="00152B05"/>
    <w:rsid w:val="001558BF"/>
    <w:rsid w:val="00171FCC"/>
    <w:rsid w:val="0017235B"/>
    <w:rsid w:val="0018530E"/>
    <w:rsid w:val="001854A8"/>
    <w:rsid w:val="001951F4"/>
    <w:rsid w:val="001961D4"/>
    <w:rsid w:val="00196872"/>
    <w:rsid w:val="001A310F"/>
    <w:rsid w:val="001B31A0"/>
    <w:rsid w:val="001C3D56"/>
    <w:rsid w:val="001D2700"/>
    <w:rsid w:val="001D2813"/>
    <w:rsid w:val="001D29E6"/>
    <w:rsid w:val="001E48C3"/>
    <w:rsid w:val="001E585D"/>
    <w:rsid w:val="001E5E46"/>
    <w:rsid w:val="001F10D1"/>
    <w:rsid w:val="002011AD"/>
    <w:rsid w:val="00205BB9"/>
    <w:rsid w:val="00211A09"/>
    <w:rsid w:val="00214246"/>
    <w:rsid w:val="002309F8"/>
    <w:rsid w:val="002339C0"/>
    <w:rsid w:val="002360DE"/>
    <w:rsid w:val="0025112E"/>
    <w:rsid w:val="0025314A"/>
    <w:rsid w:val="002535F8"/>
    <w:rsid w:val="00255949"/>
    <w:rsid w:val="0026075D"/>
    <w:rsid w:val="00273502"/>
    <w:rsid w:val="002847A2"/>
    <w:rsid w:val="0029453B"/>
    <w:rsid w:val="0029638E"/>
    <w:rsid w:val="002A214A"/>
    <w:rsid w:val="002A55A6"/>
    <w:rsid w:val="002A62CF"/>
    <w:rsid w:val="002B30FC"/>
    <w:rsid w:val="002B4548"/>
    <w:rsid w:val="002B4BCC"/>
    <w:rsid w:val="002B7350"/>
    <w:rsid w:val="002C2C3F"/>
    <w:rsid w:val="002D4F7F"/>
    <w:rsid w:val="002E1739"/>
    <w:rsid w:val="002E4F20"/>
    <w:rsid w:val="002F6C2D"/>
    <w:rsid w:val="00300EA3"/>
    <w:rsid w:val="003048F2"/>
    <w:rsid w:val="00313CAD"/>
    <w:rsid w:val="0032461B"/>
    <w:rsid w:val="00342BEF"/>
    <w:rsid w:val="00352212"/>
    <w:rsid w:val="00356E4D"/>
    <w:rsid w:val="00356EB6"/>
    <w:rsid w:val="00366A7B"/>
    <w:rsid w:val="003802DB"/>
    <w:rsid w:val="00382E5B"/>
    <w:rsid w:val="00391F0D"/>
    <w:rsid w:val="0039290F"/>
    <w:rsid w:val="003943BB"/>
    <w:rsid w:val="003A3F1A"/>
    <w:rsid w:val="003B2C18"/>
    <w:rsid w:val="003B4565"/>
    <w:rsid w:val="003B6FCA"/>
    <w:rsid w:val="003B76B7"/>
    <w:rsid w:val="003C2145"/>
    <w:rsid w:val="003D4DD9"/>
    <w:rsid w:val="003D7895"/>
    <w:rsid w:val="003F1E38"/>
    <w:rsid w:val="004053EE"/>
    <w:rsid w:val="00427274"/>
    <w:rsid w:val="00455E58"/>
    <w:rsid w:val="00464E86"/>
    <w:rsid w:val="004736A3"/>
    <w:rsid w:val="004A678F"/>
    <w:rsid w:val="004C0770"/>
    <w:rsid w:val="004C17D2"/>
    <w:rsid w:val="004D7681"/>
    <w:rsid w:val="004E1C2C"/>
    <w:rsid w:val="004E3A13"/>
    <w:rsid w:val="00505AA5"/>
    <w:rsid w:val="00526D8F"/>
    <w:rsid w:val="0052773F"/>
    <w:rsid w:val="00527795"/>
    <w:rsid w:val="005334BB"/>
    <w:rsid w:val="00546543"/>
    <w:rsid w:val="00563568"/>
    <w:rsid w:val="00570471"/>
    <w:rsid w:val="00584A5F"/>
    <w:rsid w:val="005942A0"/>
    <w:rsid w:val="0059483E"/>
    <w:rsid w:val="005A47A3"/>
    <w:rsid w:val="005B408E"/>
    <w:rsid w:val="005C602A"/>
    <w:rsid w:val="005D3EE4"/>
    <w:rsid w:val="005E2B5D"/>
    <w:rsid w:val="0061499B"/>
    <w:rsid w:val="00617602"/>
    <w:rsid w:val="00634B3D"/>
    <w:rsid w:val="00636EAA"/>
    <w:rsid w:val="00652313"/>
    <w:rsid w:val="00656475"/>
    <w:rsid w:val="006642F4"/>
    <w:rsid w:val="006740E3"/>
    <w:rsid w:val="006772DE"/>
    <w:rsid w:val="00692B22"/>
    <w:rsid w:val="0069549E"/>
    <w:rsid w:val="00695CA1"/>
    <w:rsid w:val="006A1D0F"/>
    <w:rsid w:val="006A1E43"/>
    <w:rsid w:val="006A5232"/>
    <w:rsid w:val="006B2B5C"/>
    <w:rsid w:val="006B4072"/>
    <w:rsid w:val="006D4BEF"/>
    <w:rsid w:val="006D59D2"/>
    <w:rsid w:val="006D78EA"/>
    <w:rsid w:val="006E2DA3"/>
    <w:rsid w:val="006F595A"/>
    <w:rsid w:val="00703723"/>
    <w:rsid w:val="0070668C"/>
    <w:rsid w:val="007309E5"/>
    <w:rsid w:val="00731236"/>
    <w:rsid w:val="00731CD3"/>
    <w:rsid w:val="00734AEC"/>
    <w:rsid w:val="00736BE6"/>
    <w:rsid w:val="00762C05"/>
    <w:rsid w:val="00767EED"/>
    <w:rsid w:val="00775024"/>
    <w:rsid w:val="00785A66"/>
    <w:rsid w:val="007974E9"/>
    <w:rsid w:val="007B27E4"/>
    <w:rsid w:val="007E1CC1"/>
    <w:rsid w:val="007E7C28"/>
    <w:rsid w:val="007F16C1"/>
    <w:rsid w:val="00800B26"/>
    <w:rsid w:val="00813993"/>
    <w:rsid w:val="0083260E"/>
    <w:rsid w:val="00842981"/>
    <w:rsid w:val="008500E1"/>
    <w:rsid w:val="0086014F"/>
    <w:rsid w:val="00865EDF"/>
    <w:rsid w:val="0087075C"/>
    <w:rsid w:val="008736AA"/>
    <w:rsid w:val="00886DC8"/>
    <w:rsid w:val="00887AF7"/>
    <w:rsid w:val="008909F2"/>
    <w:rsid w:val="008916FA"/>
    <w:rsid w:val="008930D1"/>
    <w:rsid w:val="00893218"/>
    <w:rsid w:val="008A1308"/>
    <w:rsid w:val="008A144B"/>
    <w:rsid w:val="008A16AD"/>
    <w:rsid w:val="008A7740"/>
    <w:rsid w:val="008B3017"/>
    <w:rsid w:val="008B4BB5"/>
    <w:rsid w:val="008B6FE1"/>
    <w:rsid w:val="008B749E"/>
    <w:rsid w:val="008B77AA"/>
    <w:rsid w:val="008C0B30"/>
    <w:rsid w:val="008D13E9"/>
    <w:rsid w:val="008E7EE9"/>
    <w:rsid w:val="008F721D"/>
    <w:rsid w:val="00901482"/>
    <w:rsid w:val="00901756"/>
    <w:rsid w:val="009137BB"/>
    <w:rsid w:val="00914A86"/>
    <w:rsid w:val="0093219B"/>
    <w:rsid w:val="00936BE1"/>
    <w:rsid w:val="0094273C"/>
    <w:rsid w:val="009563D9"/>
    <w:rsid w:val="00963953"/>
    <w:rsid w:val="0097159E"/>
    <w:rsid w:val="00984F82"/>
    <w:rsid w:val="009A715E"/>
    <w:rsid w:val="009A7729"/>
    <w:rsid w:val="009B6B3C"/>
    <w:rsid w:val="009C59B4"/>
    <w:rsid w:val="009D165E"/>
    <w:rsid w:val="009D7E77"/>
    <w:rsid w:val="009F4F0C"/>
    <w:rsid w:val="00A02093"/>
    <w:rsid w:val="00A16780"/>
    <w:rsid w:val="00A24214"/>
    <w:rsid w:val="00A30D23"/>
    <w:rsid w:val="00A3723C"/>
    <w:rsid w:val="00A37D19"/>
    <w:rsid w:val="00A42A71"/>
    <w:rsid w:val="00A534C2"/>
    <w:rsid w:val="00A815DB"/>
    <w:rsid w:val="00A91626"/>
    <w:rsid w:val="00AB1E1F"/>
    <w:rsid w:val="00AB6142"/>
    <w:rsid w:val="00AB7A6E"/>
    <w:rsid w:val="00AC020C"/>
    <w:rsid w:val="00AC6C2E"/>
    <w:rsid w:val="00AD0E25"/>
    <w:rsid w:val="00AD2A33"/>
    <w:rsid w:val="00AE5365"/>
    <w:rsid w:val="00AE5AC4"/>
    <w:rsid w:val="00AF3D05"/>
    <w:rsid w:val="00AF793C"/>
    <w:rsid w:val="00B0460F"/>
    <w:rsid w:val="00B04878"/>
    <w:rsid w:val="00B04F40"/>
    <w:rsid w:val="00B064E0"/>
    <w:rsid w:val="00B241DC"/>
    <w:rsid w:val="00B248CD"/>
    <w:rsid w:val="00B264A9"/>
    <w:rsid w:val="00B51795"/>
    <w:rsid w:val="00B57603"/>
    <w:rsid w:val="00B629F4"/>
    <w:rsid w:val="00B63136"/>
    <w:rsid w:val="00B740F9"/>
    <w:rsid w:val="00B94112"/>
    <w:rsid w:val="00B970DC"/>
    <w:rsid w:val="00BA61EA"/>
    <w:rsid w:val="00BB3024"/>
    <w:rsid w:val="00BB7722"/>
    <w:rsid w:val="00BC7EE0"/>
    <w:rsid w:val="00BD2F62"/>
    <w:rsid w:val="00BD5588"/>
    <w:rsid w:val="00BD5F60"/>
    <w:rsid w:val="00BE025A"/>
    <w:rsid w:val="00BE50C2"/>
    <w:rsid w:val="00BE6630"/>
    <w:rsid w:val="00BE7D2B"/>
    <w:rsid w:val="00BF2344"/>
    <w:rsid w:val="00BF4511"/>
    <w:rsid w:val="00C04E03"/>
    <w:rsid w:val="00C169CB"/>
    <w:rsid w:val="00C219A7"/>
    <w:rsid w:val="00C33F13"/>
    <w:rsid w:val="00C37C55"/>
    <w:rsid w:val="00C45D2E"/>
    <w:rsid w:val="00C53403"/>
    <w:rsid w:val="00C558F6"/>
    <w:rsid w:val="00C6497A"/>
    <w:rsid w:val="00C66978"/>
    <w:rsid w:val="00C74BEE"/>
    <w:rsid w:val="00C75917"/>
    <w:rsid w:val="00C81773"/>
    <w:rsid w:val="00C824B1"/>
    <w:rsid w:val="00C904C7"/>
    <w:rsid w:val="00CA2E39"/>
    <w:rsid w:val="00CA3610"/>
    <w:rsid w:val="00CA7158"/>
    <w:rsid w:val="00CB62D2"/>
    <w:rsid w:val="00CD44FD"/>
    <w:rsid w:val="00CE658F"/>
    <w:rsid w:val="00CE6BA3"/>
    <w:rsid w:val="00CF254C"/>
    <w:rsid w:val="00CF611F"/>
    <w:rsid w:val="00D01374"/>
    <w:rsid w:val="00D020BE"/>
    <w:rsid w:val="00D06F1F"/>
    <w:rsid w:val="00D13069"/>
    <w:rsid w:val="00D134BC"/>
    <w:rsid w:val="00D25694"/>
    <w:rsid w:val="00D30E88"/>
    <w:rsid w:val="00D37CF0"/>
    <w:rsid w:val="00D51A6B"/>
    <w:rsid w:val="00D72BE5"/>
    <w:rsid w:val="00D73066"/>
    <w:rsid w:val="00D805E9"/>
    <w:rsid w:val="00D82BCA"/>
    <w:rsid w:val="00D879CF"/>
    <w:rsid w:val="00D932F1"/>
    <w:rsid w:val="00D95E84"/>
    <w:rsid w:val="00DB5D1C"/>
    <w:rsid w:val="00DB5DCA"/>
    <w:rsid w:val="00DC11B2"/>
    <w:rsid w:val="00DC2050"/>
    <w:rsid w:val="00DE342A"/>
    <w:rsid w:val="00DF6B79"/>
    <w:rsid w:val="00E0079D"/>
    <w:rsid w:val="00E04ED6"/>
    <w:rsid w:val="00E10DF9"/>
    <w:rsid w:val="00E21A0A"/>
    <w:rsid w:val="00E22CAA"/>
    <w:rsid w:val="00E33067"/>
    <w:rsid w:val="00E34EF3"/>
    <w:rsid w:val="00E35C73"/>
    <w:rsid w:val="00E43F9F"/>
    <w:rsid w:val="00E44472"/>
    <w:rsid w:val="00E554BF"/>
    <w:rsid w:val="00E56773"/>
    <w:rsid w:val="00E57D3D"/>
    <w:rsid w:val="00E750E6"/>
    <w:rsid w:val="00E862FC"/>
    <w:rsid w:val="00E86B3C"/>
    <w:rsid w:val="00E95FEC"/>
    <w:rsid w:val="00E97B03"/>
    <w:rsid w:val="00EA67A6"/>
    <w:rsid w:val="00EB15EC"/>
    <w:rsid w:val="00EB3726"/>
    <w:rsid w:val="00EB4FF1"/>
    <w:rsid w:val="00EB730A"/>
    <w:rsid w:val="00EC0A69"/>
    <w:rsid w:val="00EC20FB"/>
    <w:rsid w:val="00EC2302"/>
    <w:rsid w:val="00EC63A1"/>
    <w:rsid w:val="00EC7D75"/>
    <w:rsid w:val="00ED4A7E"/>
    <w:rsid w:val="00EE17D3"/>
    <w:rsid w:val="00EE546F"/>
    <w:rsid w:val="00EF637C"/>
    <w:rsid w:val="00EF7D6C"/>
    <w:rsid w:val="00F12121"/>
    <w:rsid w:val="00F27434"/>
    <w:rsid w:val="00F47C01"/>
    <w:rsid w:val="00F54BF9"/>
    <w:rsid w:val="00F61630"/>
    <w:rsid w:val="00F660BF"/>
    <w:rsid w:val="00F67451"/>
    <w:rsid w:val="00F70D2C"/>
    <w:rsid w:val="00F91AFA"/>
    <w:rsid w:val="00F94C66"/>
    <w:rsid w:val="00F95344"/>
    <w:rsid w:val="00FA09D2"/>
    <w:rsid w:val="00FA68FA"/>
    <w:rsid w:val="00FB3856"/>
    <w:rsid w:val="00FC0AC2"/>
    <w:rsid w:val="00FC3545"/>
    <w:rsid w:val="00FC51F2"/>
    <w:rsid w:val="00FC59C6"/>
    <w:rsid w:val="00FD07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3217"/>
  <w15:docId w15:val="{4F8F98EE-EBC7-4C9E-BF66-525AF986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paragraph" w:styleId="Heading3">
    <w:name w:val="heading 3"/>
    <w:basedOn w:val="Normal"/>
    <w:link w:val="Heading3Char"/>
    <w:uiPriority w:val="9"/>
    <w:unhideWhenUsed/>
    <w:qFormat/>
    <w:rsid w:val="007B27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nhideWhenUsed/>
    <w:rsid w:val="00BD5588"/>
    <w:rPr>
      <w:color w:val="0000FF"/>
      <w:u w:val="single"/>
    </w:rPr>
  </w:style>
  <w:style w:type="paragraph" w:styleId="Footer">
    <w:name w:val="footer"/>
    <w:basedOn w:val="Normal"/>
    <w:link w:val="FooterChar"/>
    <w:uiPriority w:val="99"/>
    <w:rsid w:val="006B2B5C"/>
    <w:pPr>
      <w:widowControl w:val="0"/>
      <w:suppressAutoHyphens/>
    </w:pPr>
    <w:rPr>
      <w:rFonts w:ascii="RimTimes" w:eastAsia="Lucida Sans Unicode" w:hAnsi="RimTimes"/>
      <w:kern w:val="1"/>
      <w:lang w:eastAsia="ar-SA"/>
    </w:rPr>
  </w:style>
  <w:style w:type="character" w:customStyle="1" w:styleId="FooterChar">
    <w:name w:val="Footer Char"/>
    <w:basedOn w:val="DefaultParagraphFont"/>
    <w:link w:val="Footer"/>
    <w:uiPriority w:val="99"/>
    <w:rsid w:val="006B2B5C"/>
    <w:rPr>
      <w:rFonts w:ascii="RimTimes" w:eastAsia="Lucida Sans Unicode" w:hAnsi="RimTimes" w:cs="Times New Roman"/>
      <w:kern w:val="1"/>
      <w:sz w:val="24"/>
      <w:szCs w:val="24"/>
      <w:lang w:eastAsia="ar-SA"/>
    </w:rPr>
  </w:style>
  <w:style w:type="paragraph" w:customStyle="1" w:styleId="naisnod">
    <w:name w:val="naisnod"/>
    <w:basedOn w:val="Normal"/>
    <w:rsid w:val="004C0770"/>
    <w:pPr>
      <w:spacing w:before="150" w:after="150"/>
      <w:jc w:val="center"/>
    </w:pPr>
    <w:rPr>
      <w:b/>
      <w:bCs/>
    </w:rPr>
  </w:style>
  <w:style w:type="paragraph" w:styleId="Header">
    <w:name w:val="header"/>
    <w:basedOn w:val="Normal"/>
    <w:link w:val="HeaderChar"/>
    <w:uiPriority w:val="99"/>
    <w:unhideWhenUsed/>
    <w:rsid w:val="00A3723C"/>
    <w:pPr>
      <w:tabs>
        <w:tab w:val="center" w:pos="4153"/>
        <w:tab w:val="right" w:pos="8306"/>
      </w:tabs>
    </w:pPr>
  </w:style>
  <w:style w:type="character" w:customStyle="1" w:styleId="HeaderChar">
    <w:name w:val="Header Char"/>
    <w:basedOn w:val="DefaultParagraphFont"/>
    <w:link w:val="Header"/>
    <w:uiPriority w:val="99"/>
    <w:rsid w:val="00A3723C"/>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A3723C"/>
    <w:rPr>
      <w:rFonts w:ascii="Tahoma" w:hAnsi="Tahoma" w:cs="Tahoma"/>
      <w:sz w:val="16"/>
      <w:szCs w:val="16"/>
    </w:rPr>
  </w:style>
  <w:style w:type="character" w:customStyle="1" w:styleId="BalloonTextChar">
    <w:name w:val="Balloon Text Char"/>
    <w:basedOn w:val="DefaultParagraphFont"/>
    <w:link w:val="BalloonText"/>
    <w:uiPriority w:val="99"/>
    <w:semiHidden/>
    <w:rsid w:val="00A3723C"/>
    <w:rPr>
      <w:rFonts w:ascii="Tahoma" w:eastAsia="Times New Roman" w:hAnsi="Tahoma" w:cs="Tahoma"/>
      <w:sz w:val="16"/>
      <w:szCs w:val="16"/>
      <w:lang w:eastAsia="lv-LV"/>
    </w:rPr>
  </w:style>
  <w:style w:type="paragraph" w:customStyle="1" w:styleId="naisf">
    <w:name w:val="naisf"/>
    <w:basedOn w:val="Normal"/>
    <w:rsid w:val="00A3723C"/>
    <w:pPr>
      <w:suppressAutoHyphens/>
      <w:spacing w:before="75" w:after="75"/>
      <w:ind w:firstLine="375"/>
      <w:jc w:val="both"/>
    </w:pPr>
    <w:rPr>
      <w:lang w:eastAsia="ar-SA"/>
    </w:rPr>
  </w:style>
  <w:style w:type="table" w:styleId="TableGrid">
    <w:name w:val="Table Grid"/>
    <w:basedOn w:val="TableNormal"/>
    <w:uiPriority w:val="59"/>
    <w:rsid w:val="00F91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Normal"/>
    <w:rsid w:val="001E585D"/>
    <w:pPr>
      <w:spacing w:after="160" w:line="240" w:lineRule="exact"/>
    </w:pPr>
    <w:rPr>
      <w:rFonts w:ascii="Tahoma" w:hAnsi="Tahoma"/>
      <w:sz w:val="20"/>
      <w:szCs w:val="20"/>
      <w:lang w:val="en-US" w:eastAsia="en-US"/>
    </w:rPr>
  </w:style>
  <w:style w:type="character" w:customStyle="1" w:styleId="FontStyle12">
    <w:name w:val="Font Style12"/>
    <w:uiPriority w:val="99"/>
    <w:rsid w:val="00BE025A"/>
    <w:rPr>
      <w:rFonts w:ascii="Times New Roman" w:hAnsi="Times New Roman" w:cs="Times New Roman" w:hint="default"/>
      <w:sz w:val="20"/>
      <w:szCs w:val="20"/>
    </w:rPr>
  </w:style>
  <w:style w:type="character" w:customStyle="1" w:styleId="Heading3Char">
    <w:name w:val="Heading 3 Char"/>
    <w:basedOn w:val="DefaultParagraphFont"/>
    <w:link w:val="Heading3"/>
    <w:uiPriority w:val="9"/>
    <w:rsid w:val="007B27E4"/>
    <w:rPr>
      <w:rFonts w:ascii="Times New Roman" w:eastAsia="Times New Roman" w:hAnsi="Times New Roman" w:cs="Times New Roman"/>
      <w:b/>
      <w:bCs/>
      <w:sz w:val="27"/>
      <w:szCs w:val="27"/>
      <w:lang w:eastAsia="lv-LV"/>
    </w:rPr>
  </w:style>
  <w:style w:type="character" w:styleId="CommentReference">
    <w:name w:val="annotation reference"/>
    <w:basedOn w:val="DefaultParagraphFont"/>
    <w:uiPriority w:val="99"/>
    <w:semiHidden/>
    <w:unhideWhenUsed/>
    <w:rsid w:val="002A214A"/>
    <w:rPr>
      <w:sz w:val="16"/>
      <w:szCs w:val="16"/>
    </w:rPr>
  </w:style>
  <w:style w:type="paragraph" w:styleId="CommentText">
    <w:name w:val="annotation text"/>
    <w:basedOn w:val="Normal"/>
    <w:link w:val="CommentTextChar"/>
    <w:uiPriority w:val="99"/>
    <w:unhideWhenUsed/>
    <w:rsid w:val="002A214A"/>
    <w:rPr>
      <w:sz w:val="20"/>
      <w:szCs w:val="20"/>
    </w:rPr>
  </w:style>
  <w:style w:type="character" w:customStyle="1" w:styleId="CommentTextChar">
    <w:name w:val="Comment Text Char"/>
    <w:basedOn w:val="DefaultParagraphFont"/>
    <w:link w:val="CommentText"/>
    <w:uiPriority w:val="99"/>
    <w:rsid w:val="002A214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A214A"/>
    <w:rPr>
      <w:b/>
      <w:bCs/>
    </w:rPr>
  </w:style>
  <w:style w:type="character" w:customStyle="1" w:styleId="CommentSubjectChar">
    <w:name w:val="Comment Subject Char"/>
    <w:basedOn w:val="CommentTextChar"/>
    <w:link w:val="CommentSubject"/>
    <w:uiPriority w:val="99"/>
    <w:semiHidden/>
    <w:rsid w:val="002A214A"/>
    <w:rPr>
      <w:rFonts w:ascii="Times New Roman" w:eastAsia="Times New Roman" w:hAnsi="Times New Roman" w:cs="Times New Roman"/>
      <w:b/>
      <w:bCs/>
      <w:sz w:val="20"/>
      <w:szCs w:val="20"/>
      <w:lang w:eastAsia="lv-LV"/>
    </w:rPr>
  </w:style>
  <w:style w:type="paragraph" w:styleId="NoSpacing">
    <w:name w:val="No Spacing"/>
    <w:link w:val="NoSpacingChar"/>
    <w:uiPriority w:val="1"/>
    <w:qFormat/>
    <w:rsid w:val="004053EE"/>
    <w:pPr>
      <w:spacing w:after="0"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8930D1"/>
    <w:rPr>
      <w:sz w:val="20"/>
      <w:szCs w:val="20"/>
    </w:rPr>
  </w:style>
  <w:style w:type="character" w:customStyle="1" w:styleId="FootnoteTextChar">
    <w:name w:val="Footnote Text Char"/>
    <w:basedOn w:val="DefaultParagraphFont"/>
    <w:link w:val="FootnoteText"/>
    <w:uiPriority w:val="99"/>
    <w:semiHidden/>
    <w:rsid w:val="008930D1"/>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8930D1"/>
    <w:rPr>
      <w:vertAlign w:val="superscript"/>
    </w:rPr>
  </w:style>
  <w:style w:type="paragraph" w:styleId="NormalWeb">
    <w:name w:val="Normal (Web)"/>
    <w:basedOn w:val="Normal"/>
    <w:uiPriority w:val="99"/>
    <w:semiHidden/>
    <w:unhideWhenUsed/>
    <w:rsid w:val="008930D1"/>
    <w:pPr>
      <w:spacing w:before="100" w:beforeAutospacing="1" w:after="100" w:afterAutospacing="1"/>
    </w:pPr>
  </w:style>
  <w:style w:type="paragraph" w:styleId="ListParagraph">
    <w:name w:val="List Paragraph"/>
    <w:basedOn w:val="Normal"/>
    <w:uiPriority w:val="34"/>
    <w:qFormat/>
    <w:rsid w:val="00366A7B"/>
    <w:pPr>
      <w:ind w:left="720"/>
      <w:contextualSpacing/>
    </w:pPr>
  </w:style>
  <w:style w:type="paragraph" w:styleId="BodyText3">
    <w:name w:val="Body Text 3"/>
    <w:basedOn w:val="Normal"/>
    <w:link w:val="BodyText3Char"/>
    <w:rsid w:val="000422DD"/>
    <w:pPr>
      <w:suppressAutoHyphens/>
      <w:spacing w:after="120"/>
    </w:pPr>
    <w:rPr>
      <w:sz w:val="16"/>
      <w:szCs w:val="16"/>
      <w:lang w:eastAsia="zh-CN"/>
    </w:rPr>
  </w:style>
  <w:style w:type="character" w:customStyle="1" w:styleId="BodyText3Char">
    <w:name w:val="Body Text 3 Char"/>
    <w:basedOn w:val="DefaultParagraphFont"/>
    <w:link w:val="BodyText3"/>
    <w:rsid w:val="000422DD"/>
    <w:rPr>
      <w:rFonts w:ascii="Times New Roman" w:eastAsia="Times New Roman" w:hAnsi="Times New Roman" w:cs="Times New Roman"/>
      <w:sz w:val="16"/>
      <w:szCs w:val="16"/>
      <w:lang w:eastAsia="zh-CN"/>
    </w:rPr>
  </w:style>
  <w:style w:type="character" w:customStyle="1" w:styleId="NoSpacingChar">
    <w:name w:val="No Spacing Char"/>
    <w:link w:val="NoSpacing"/>
    <w:uiPriority w:val="1"/>
    <w:locked/>
    <w:rsid w:val="000422D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4906">
      <w:bodyDiv w:val="1"/>
      <w:marLeft w:val="0"/>
      <w:marRight w:val="0"/>
      <w:marTop w:val="0"/>
      <w:marBottom w:val="0"/>
      <w:divBdr>
        <w:top w:val="none" w:sz="0" w:space="0" w:color="auto"/>
        <w:left w:val="none" w:sz="0" w:space="0" w:color="auto"/>
        <w:bottom w:val="none" w:sz="0" w:space="0" w:color="auto"/>
        <w:right w:val="none" w:sz="0" w:space="0" w:color="auto"/>
      </w:divBdr>
    </w:div>
    <w:div w:id="960843904">
      <w:bodyDiv w:val="1"/>
      <w:marLeft w:val="0"/>
      <w:marRight w:val="0"/>
      <w:marTop w:val="0"/>
      <w:marBottom w:val="0"/>
      <w:divBdr>
        <w:top w:val="none" w:sz="0" w:space="0" w:color="auto"/>
        <w:left w:val="none" w:sz="0" w:space="0" w:color="auto"/>
        <w:bottom w:val="none" w:sz="0" w:space="0" w:color="auto"/>
        <w:right w:val="none" w:sz="0" w:space="0" w:color="auto"/>
      </w:divBdr>
    </w:div>
    <w:div w:id="1125663772">
      <w:bodyDiv w:val="1"/>
      <w:marLeft w:val="0"/>
      <w:marRight w:val="0"/>
      <w:marTop w:val="0"/>
      <w:marBottom w:val="0"/>
      <w:divBdr>
        <w:top w:val="none" w:sz="0" w:space="0" w:color="auto"/>
        <w:left w:val="none" w:sz="0" w:space="0" w:color="auto"/>
        <w:bottom w:val="none" w:sz="0" w:space="0" w:color="auto"/>
        <w:right w:val="none" w:sz="0" w:space="0" w:color="auto"/>
      </w:divBdr>
    </w:div>
    <w:div w:id="1665821560">
      <w:bodyDiv w:val="1"/>
      <w:marLeft w:val="0"/>
      <w:marRight w:val="0"/>
      <w:marTop w:val="0"/>
      <w:marBottom w:val="0"/>
      <w:divBdr>
        <w:top w:val="none" w:sz="0" w:space="0" w:color="auto"/>
        <w:left w:val="none" w:sz="0" w:space="0" w:color="auto"/>
        <w:bottom w:val="none" w:sz="0" w:space="0" w:color="auto"/>
        <w:right w:val="none" w:sz="0" w:space="0" w:color="auto"/>
      </w:divBdr>
    </w:div>
    <w:div w:id="181325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lat/sadarbiba_ar_nv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ABB7-5B42-408F-936C-77371D537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Pages>
  <Words>8471</Words>
  <Characters>4829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Ministru kabineta noteikumu projekta "Valsts robežsardzes koledžas maksas pakalpojumu cenrādis" sākotnējās ietekmes novērtējuma ziņojums</vt:lpstr>
    </vt:vector>
  </TitlesOfParts>
  <Company>Valsts robežsardzes koledža</Company>
  <LinksUpToDate>false</LinksUpToDate>
  <CharactersWithSpaces>13274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"Valsts robežsardzes koledžas maksas pakalpojumu cenrādis" sākotnējās ietekmes novērtējuma ziņojums</dc:title>
  <dc:subject>Tiesību akta sākotnējās ietekmes novērtējuma ziņojums (anotācija)</dc:subject>
  <dc:creator>Kristīna Volonceviča</dc:creator>
  <dc:description>64603689, kristina.voloncevica@rs.gov.lv</dc:description>
  <cp:lastModifiedBy>Arnis Slesars</cp:lastModifiedBy>
  <cp:revision>44</cp:revision>
  <cp:lastPrinted>2019-01-28T08:44:00Z</cp:lastPrinted>
  <dcterms:created xsi:type="dcterms:W3CDTF">2019-12-10T13:16:00Z</dcterms:created>
  <dcterms:modified xsi:type="dcterms:W3CDTF">2020-05-11T09:13:00Z</dcterms:modified>
</cp:coreProperties>
</file>